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7DE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 распределении уровней внутриглазного давления в нормальной популяции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Intraocular pressure levels distribution in normal population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The terms of statistical norm of intraocular pressure (IOP), its individual level, tolerant pressure and target pressure has been considered in healthy and glaucoma populations.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The data of IOP statistical norm was analyzed in healthy population of 4708 p</w:t>
      </w:r>
      <w:r>
        <w:rPr>
          <w:color w:val="000000"/>
        </w:rPr>
        <w:t xml:space="preserve">atients (9416 eyes) in 1971 and 2481 patients (4902 eyes) in 2001. The IOP measuring was performed by 10.0 gr. Maklakov tonometer (tonometric pressure).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Cluster analysis of histograms showed the absence of normal IOP levels distribution in normal populati</w:t>
      </w:r>
      <w:r>
        <w:rPr>
          <w:color w:val="000000"/>
        </w:rPr>
        <w:t xml:space="preserve">on and dividing patients into two groups – the first one with IOP on low normal level (30.8%) and the second one – with tendency to high normal level (69.2%).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К</w:t>
      </w:r>
      <w:r>
        <w:rPr>
          <w:color w:val="000000"/>
        </w:rPr>
        <w:t>оличественное накопление знаний о механизмах первичной открытоугольной глаукомы (ПОУГ), к сож</w:t>
      </w:r>
      <w:r>
        <w:rPr>
          <w:color w:val="000000"/>
        </w:rPr>
        <w:t xml:space="preserve">алению, до настоящего времени не приводит к качественному скачку в результатах ее лечения. Первичная глаукома и по сей день занимает одно из первых мест в структуре неизлечимой слепоты.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Причин, объясняющих создавшееся положение, имеется достаточно. Мы обо</w:t>
      </w:r>
      <w:r>
        <w:rPr>
          <w:color w:val="000000"/>
        </w:rPr>
        <w:t xml:space="preserve">значим, на наш взгляд, две основные.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Во–первых, это отсутствие четкой концепции глаукоматозной нейроретинопатии и главное – практическое отсутствие рекомендаций, да и самих лекарственных средств, воздействующих на процессы, происходящие в сетчатке и зрите</w:t>
      </w:r>
      <w:r>
        <w:rPr>
          <w:color w:val="000000"/>
        </w:rPr>
        <w:t xml:space="preserve">льном нерве при первичной глаукоме.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Во–вторых, это отсутствие ясных критериев по снижению внутриглазного давления (ВГД), наиболее контролируемому и подверженному лечебному воздействию показателю. Этому вопросу мы и посвятили наше исследование.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Если говор</w:t>
      </w:r>
      <w:r>
        <w:rPr>
          <w:color w:val="000000"/>
        </w:rPr>
        <w:t>ить о нормальном уровне ВГД, то необходимо расшифровать это понятие. Сразу оговоримся, что речь далее пойдет о тонометрическом, а не об истинном офтальмотонусе. Это сделано потому, что подавляющее большинство стационаров и поликлиник в России для измерения</w:t>
      </w:r>
      <w:r>
        <w:rPr>
          <w:color w:val="000000"/>
        </w:rPr>
        <w:t xml:space="preserve"> ВГД пользуются тонометром Маклакова и нормативами тонометрического давления.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Итак, следует различать: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• статистическую норму ВГД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• индивидуальный уровень офтальмотонуса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• толерантное давление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• давление «цели». </w:t>
      </w:r>
    </w:p>
    <w:p w:rsidR="00000000" w:rsidRDefault="003437DE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Статистическая норма тонометрического </w:t>
      </w:r>
      <w:r>
        <w:rPr>
          <w:b/>
          <w:bCs/>
          <w:color w:val="000000"/>
        </w:rPr>
        <w:t>ВГД</w:t>
      </w:r>
      <w:r>
        <w:rPr>
          <w:color w:val="000000"/>
        </w:rPr>
        <w:t xml:space="preserve"> составляет от 15 до 26 мм рт. ст. Особенно много исследований нормального офтальмотонуса было произведено в первой половине XX </w:t>
      </w:r>
      <w:r>
        <w:rPr>
          <w:color w:val="000000"/>
        </w:rPr>
        <w:lastRenderedPageBreak/>
        <w:t>века (В.П. Одинцов, 1938; С.Ф. Кальфа, 1936, 1938; Б.Л. Поляк, 1952; А.П. Нестеров, 1968). Однако если ориентироваться на при</w:t>
      </w:r>
      <w:r>
        <w:rPr>
          <w:color w:val="000000"/>
        </w:rPr>
        <w:t xml:space="preserve">веденные цифры, то при крайних значениях статистического ряда ВГД может различаться более чем на 10 мм рт. ст., оставаясь при этом в пределах статистической нормы. При этом основные дискуссии велись по поводу верхней границы нормального уровня ВГД – 26 мм </w:t>
      </w:r>
      <w:r>
        <w:rPr>
          <w:color w:val="000000"/>
        </w:rPr>
        <w:t xml:space="preserve">рт. ст. Работ, анализирующих распределение ВГД в пределах статистической нормы, мы не обнаружили.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Существенно большую информативность имеют для нас цифры </w:t>
      </w:r>
      <w:r>
        <w:rPr>
          <w:b/>
          <w:bCs/>
          <w:color w:val="000000"/>
        </w:rPr>
        <w:t>индивидуального ВГД</w:t>
      </w:r>
      <w:r>
        <w:rPr>
          <w:color w:val="000000"/>
        </w:rPr>
        <w:t>, измеренного один, а желательно несколько раз в период отсутствия глаукоматозного</w:t>
      </w:r>
      <w:r>
        <w:rPr>
          <w:color w:val="000000"/>
        </w:rPr>
        <w:t xml:space="preserve"> процесса. Однако практически ни по одному больному глаукомой врачи не располагают достоверной информацией о том, какой офтальмотонус был у него до заболевания. </w:t>
      </w:r>
    </w:p>
    <w:p w:rsidR="00000000" w:rsidRDefault="003437DE">
      <w:pPr>
        <w:pStyle w:val="a3"/>
        <w:rPr>
          <w:color w:val="000000"/>
        </w:rPr>
      </w:pPr>
      <w:r>
        <w:rPr>
          <w:b/>
          <w:bCs/>
          <w:color w:val="000000"/>
        </w:rPr>
        <w:t>Толерантное ВГД</w:t>
      </w:r>
      <w:r>
        <w:rPr>
          <w:color w:val="000000"/>
        </w:rPr>
        <w:t xml:space="preserve"> – термин, введенный А.М.Водовозовым в 1975 году. Он уже относится непосредстве</w:t>
      </w:r>
      <w:r>
        <w:rPr>
          <w:color w:val="000000"/>
        </w:rPr>
        <w:t>нно к глаукоматозному процессу и обозначает уровень ВГД, не оказывающий повреждающего действия на внутренние структуры глазного яблока. Толерантное ВГД определяется при помощи специальных разгрузочных функциональных проб (А.М.Водовозов и соавт., 1976 – 198</w:t>
      </w:r>
      <w:r>
        <w:rPr>
          <w:color w:val="000000"/>
        </w:rPr>
        <w:t xml:space="preserve">5).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Термин </w:t>
      </w:r>
      <w:r>
        <w:rPr>
          <w:b/>
          <w:bCs/>
          <w:color w:val="000000"/>
        </w:rPr>
        <w:t>уровень давления «цели»</w:t>
      </w:r>
      <w:r>
        <w:rPr>
          <w:color w:val="000000"/>
        </w:rPr>
        <w:t xml:space="preserve"> введен в практику отечественных и зарубежных офтальмологов только в последнее время. Давление «цели» определяется эмпирически с учетом всех факторов риска, имеющихся у данного конкретного больного. Оно так же, как толера</w:t>
      </w:r>
      <w:r>
        <w:rPr>
          <w:color w:val="000000"/>
        </w:rPr>
        <w:t>нтное ВГД, при длительном наблюдении не должно оказывать на глазное яблоко повреждающего действия. Определение давления «цели» является результатом детального обследования (не только офтальмоскопического) и осмысления всех факторов риска у каждого конкретн</w:t>
      </w:r>
      <w:r>
        <w:rPr>
          <w:color w:val="000000"/>
        </w:rPr>
        <w:t>ого больного. Широкое использование данного подхода в клинической практике, а самое главное не только определение давления «цели», но и достижение его медикаментозными или хирургическими методами является важным шагом в качественном улучшении результатов л</w:t>
      </w:r>
      <w:r>
        <w:rPr>
          <w:color w:val="000000"/>
        </w:rPr>
        <w:t xml:space="preserve">ечения больных ПОУГ.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Для изучения этого вопроса мы проанализировали данные, полученные сотрудницей нашей клиники Н.Б.Паниной (1971) при измерении тонометрического ВГД у 4708 здоровых лиц (9416 глаз) в возрасте от 30 до 70 лет. Полученные данные оказались </w:t>
      </w:r>
      <w:r>
        <w:rPr>
          <w:color w:val="000000"/>
        </w:rPr>
        <w:t>настолько интересными, что мы провели собственное исследование ВГД у группы здоровых лиц общей численностью 2481 человека (4902 глаз), того же возраста (В.Н.Алексеев, Е.Б.Мартынова, 2001). Они не имели отягощенного семейного анамнеза по глаукоме и объектив</w:t>
      </w:r>
      <w:r>
        <w:rPr>
          <w:color w:val="000000"/>
        </w:rPr>
        <w:t xml:space="preserve">ных симптомов заболевания. Среди обследованных было 1229 мужчин (49,5%), 1252 женщины (50,5%). Внутриглазное давление измерялось по стандартной методике тонометром Маклакова весом 10,0 г.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Наше исследование ставило своей целью проверить закономерности, выя</w:t>
      </w:r>
      <w:r>
        <w:rPr>
          <w:color w:val="000000"/>
        </w:rPr>
        <w:t>вленные при анализе данных первого исследования, и попутно определить, не изменились ли эти закономерности за последние 30 лет в связи с произошедшими в стране существенными социальными, экономическими и экологическими сдвигами. Полученные данные представл</w:t>
      </w:r>
      <w:r>
        <w:rPr>
          <w:color w:val="000000"/>
        </w:rPr>
        <w:t xml:space="preserve">ены в табл. 1. </w:t>
      </w:r>
    </w:p>
    <w:p w:rsidR="00000000" w:rsidRDefault="00E77052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72150" cy="1000125"/>
            <wp:effectExtent l="0" t="0" r="0" b="0"/>
            <wp:docPr id="1" name="Рисунок 1" descr="D:\Новая папка (2)\fdxfgdfgh.files\t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fdxfgdfgh.files\t3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37D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Как видно из приведенной таблицы, индивидуальные уровни ВГД, точнее, их распределение в пределах статистического ряда в целом за 3</w:t>
      </w:r>
      <w:r>
        <w:rPr>
          <w:color w:val="000000"/>
          <w:sz w:val="24"/>
          <w:szCs w:val="24"/>
        </w:rPr>
        <w:t>0 лет не претерпели существенных изменений. Некоторое уменьшение числа лиц в зоне высокой нормы объясняется, по–видимому, изменением подхода к гипертензионным состояниям, вследствие чего она выпали из нашего исследования, как пациенты с «подозрением на гла</w:t>
      </w:r>
      <w:r>
        <w:rPr>
          <w:color w:val="000000"/>
          <w:sz w:val="24"/>
          <w:szCs w:val="24"/>
        </w:rPr>
        <w:t xml:space="preserve">укому».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В остальном в обоих обследованиях отмечено уменьшение числа обследованных по мере отдаления от нижней границы статистического ряда и достигающих своего максимума при 20 мм рт. ст.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Однако далее этот строгий порядок в обоих случаях нарушается. Вмес</w:t>
      </w:r>
      <w:r>
        <w:rPr>
          <w:color w:val="000000"/>
        </w:rPr>
        <w:t>то плавного снижения числа обследованных по мере приближения к верхней границе нормы мы наблюдаем довольно резкое падение ВГД на уровне 21 мм рт. ст., затем вновь его повышение на 22 мм рт. ст. и только потом – плавное снижение. Эта зависимость отмечена ка</w:t>
      </w:r>
      <w:r>
        <w:rPr>
          <w:color w:val="000000"/>
        </w:rPr>
        <w:t>к в исследовании 1971 г., так и 2001 г., что позволяет расценивать ее не как «артефакт», что можно предположить при анализе только одной базы данных, а как закономерность, на которой мы остановимся отдельно после оценки индивидуальных уровней ВГД, представ</w:t>
      </w:r>
      <w:r>
        <w:rPr>
          <w:color w:val="000000"/>
        </w:rPr>
        <w:t xml:space="preserve">ленных в таблице. Однако весь этот анализ теряет смысл, если индивидуальный уровень офтальмотонуса может существенно колебаться во времени в пределах статистической нормы. В этом случае говорить о выявлении закономерностей будет трудно.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Для ответа на вопр</w:t>
      </w:r>
      <w:r>
        <w:rPr>
          <w:color w:val="000000"/>
        </w:rPr>
        <w:t>ос, насколько стабилен уровень индивидуального ВГД в течение жизни, мы провели исследование офтальмотонуса у 491 человека, которым проводилось его трехкратное измерение в течение 5–7 лет. Колебания ВГД в пределах от 0 до 3 мм рт. ст. было отмечено у 89% ис</w:t>
      </w:r>
      <w:r>
        <w:rPr>
          <w:color w:val="000000"/>
        </w:rPr>
        <w:t>следованных, от 4 до 6 – у 11%. Разбросов офтальмотонуса, составляющих больше 6 мм рт. ст., отмечено не было. Это позволяет нам утверждать, что индивидуальное ВГД – величина достаточно постоянная и поэтому срез данных индивидуального ВГД у наших обследован</w:t>
      </w:r>
      <w:r>
        <w:rPr>
          <w:color w:val="000000"/>
        </w:rPr>
        <w:t xml:space="preserve">ных является репрезентативным. Далее мы проанализировали данные исследований 2001 г.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Средняя величина тонометрического ВГД составила 19,9±0,03 мм рт. ст. Кстати, уровень офтальмотонуса равный 20 мм рт. ст. – наиболее часто встречающийся показатель давлени</w:t>
      </w:r>
      <w:r>
        <w:rPr>
          <w:color w:val="000000"/>
        </w:rPr>
        <w:t>я в нашей выборке, который отмечался у 27,8% мужчин и у 28,3% женщин. Также очень важным для дальнейшего определения давления «цели» у больных ПОУГ является тот факт, что уровень индивидуального ВГД в здоровой популяции у 72% мужчин и 69,4% женщин был 20 м</w:t>
      </w:r>
      <w:r>
        <w:rPr>
          <w:color w:val="000000"/>
        </w:rPr>
        <w:t xml:space="preserve">м рт. ст. и ниже, что составляет практически три четверти всех обследованных.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В итоге мы разделили все пространство статистической нормы ВГД на три зоны. Зона высокой нормы от 23 до 26 мм рт. ст. включает 6,5% обследованных, зона средней нормы от 19 до 22</w:t>
      </w:r>
      <w:r>
        <w:rPr>
          <w:color w:val="000000"/>
        </w:rPr>
        <w:t xml:space="preserve"> мм рт. ст. – 72,2% и, наконец, зона низкой нормы от 18 мм рт. ст. и ниже – 20,3%.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В связи с этими данными нам представляется целесообразным несколько пересмотреть верхнюю границу ВГД при длительном наблюдении больных с глаукомой. Мы предлагаем: если не и</w:t>
      </w:r>
      <w:r>
        <w:rPr>
          <w:color w:val="000000"/>
        </w:rPr>
        <w:t xml:space="preserve">звестна индивидуальная норма, использовать для этого среднюю норму офтальмотонуса в здоровой популяции, равную 20 мм рт. ст. Однако 20 мм рт. ст. может являться лишь верхней границей при глаукомном процессе.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Здесь необходимо учитывать еще ряд факторов. Во</w:t>
      </w:r>
      <w:r>
        <w:rPr>
          <w:color w:val="000000"/>
        </w:rPr>
        <w:t>–первых, две трети лиц в здоровой популяции имеют ВГД 20 мм рт. ст. и ниже, а 20% популяции относятся к зоне низкой нормы, и этот уровень для них уже является существенно повышенным. Во–вторых, наличие дополнительных факторов риска диктует необходимость ещ</w:t>
      </w:r>
      <w:r>
        <w:rPr>
          <w:color w:val="000000"/>
        </w:rPr>
        <w:t xml:space="preserve">е большего снижения уровня ВГД. Исходя из этого, напрашивается вывод, что врач и больной глаукомой при длительном наблюдении могут себя чувствовать относительно спокойно при уровне давления меньше 20 мм рт. ст.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Теперь вернемся к неравномерному распределен</w:t>
      </w:r>
      <w:r>
        <w:rPr>
          <w:color w:val="000000"/>
        </w:rPr>
        <w:t>ию ВГД у здоровых лиц в пределах статистического ряда на протяжении последних 30 лет (1971–2001). Полученное нами совпадение данных этих исследований позволило утверждать, что выявлена новая, пока не совсем объяснимая закономерность. Она сохранялась при ан</w:t>
      </w:r>
      <w:r>
        <w:rPr>
          <w:color w:val="000000"/>
        </w:rPr>
        <w:t xml:space="preserve">ализе базы данных и по половому, и по возрастному составу.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Для углубленного анализа выявленной закономерности мы обратились в Санкт–Петербургский электротехнический университет (проф. А.И.Яшин) для проведения исследования имеющейся базы данных с применени</w:t>
      </w:r>
      <w:r>
        <w:rPr>
          <w:color w:val="000000"/>
        </w:rPr>
        <w:t xml:space="preserve">ем методов математической статистики.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В процессе статистической обработки имеющейся базы данных уровня индивидуального ВГД у здоровых людей мы отметили следующую закономерность (рис. 1). </w:t>
      </w:r>
    </w:p>
    <w:p w:rsidR="00000000" w:rsidRDefault="00E77052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81250" cy="1581150"/>
            <wp:effectExtent l="0" t="0" r="0" b="0"/>
            <wp:docPr id="2" name="Рисунок 2" descr="D:\Новая папка (2)\fdxfgdfgh.files\p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fdxfgdfgh.files\p3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37DE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1. Гистограмма распределения уровней индивидуального ВГД в здоровой популяции</w:t>
      </w:r>
    </w:p>
    <w:p w:rsidR="00000000" w:rsidRDefault="003437D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из приведенной гистограммы, для исследуемой базы данных характерно наличие двух экстремумов (соответствующих 20 и 22 мм</w:t>
      </w:r>
      <w:r>
        <w:rPr>
          <w:color w:val="000000"/>
          <w:sz w:val="24"/>
          <w:szCs w:val="24"/>
        </w:rPr>
        <w:t xml:space="preserve"> рт. ст.), разделенных локальным минимумом. Причем это свойственно как всей генеральной выборке, так и различным ее категориям, определенным по полу и возрастным характеристикам. Таким образом, нельзя говорить об индивидуальном ВГД у здоровых лиц, как об о</w:t>
      </w:r>
      <w:r>
        <w:rPr>
          <w:color w:val="000000"/>
          <w:sz w:val="24"/>
          <w:szCs w:val="24"/>
        </w:rPr>
        <w:t xml:space="preserve">днородной, нормально распределенной величине и применять к ней стандартные методы обработки.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Однако для окончательного решения о неоднородности исследуемой выборки был применен критерий c2 Колмогорова–Смирнова. Как следует из показателя расхождения, разли</w:t>
      </w:r>
      <w:r>
        <w:rPr>
          <w:color w:val="000000"/>
        </w:rPr>
        <w:t xml:space="preserve">чие между наблюдаемыми и рассчитанными значениями ВГД оказалось весьма значительным, что полностью опровергает гипотезу о нормальном распределении индивидуальных уровней офтальмотонуса. Ситуация, представленная на гистограмме, соответствует двухмодальному </w:t>
      </w:r>
      <w:r>
        <w:rPr>
          <w:color w:val="000000"/>
        </w:rPr>
        <w:t xml:space="preserve">островершинному распределению.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Мы предположили, что анализируемая выборка является результатом суммирования двух нормально распределенных величин. То есть в анализируемой выборке имеются две четко выраженные группы лиц, причем состав этих групп не зависит</w:t>
      </w:r>
      <w:r>
        <w:rPr>
          <w:color w:val="000000"/>
        </w:rPr>
        <w:t xml:space="preserve"> от половой и возрастных характеристик исследуемых. Для определения параметров этих групп был применен кластерный анализ. Вычисления, проведенные в процессе кластерного анализа, мы не приводим, отметим только, что они были выполнены в пакете STATISTICA. В </w:t>
      </w:r>
      <w:r>
        <w:rPr>
          <w:color w:val="000000"/>
        </w:rPr>
        <w:t xml:space="preserve">результате выборка была разделена на 2 кластера (группы), показатели которых приведены в табл. 2. </w:t>
      </w:r>
    </w:p>
    <w:p w:rsidR="00000000" w:rsidRDefault="00E77052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38825" cy="1095375"/>
            <wp:effectExtent l="0" t="0" r="0" b="0"/>
            <wp:docPr id="3" name="Рисунок 3" descr="D:\Новая папка (2)\fdxfgdfgh.files\t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fdxfgdfgh.files\t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437D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Математические ожидания в этих совокупностях с</w:t>
      </w:r>
      <w:r>
        <w:rPr>
          <w:color w:val="000000"/>
          <w:sz w:val="24"/>
          <w:szCs w:val="24"/>
        </w:rPr>
        <w:t>овпадают с точками экстремумов (максимумов), наблюдаемых на общей гистограмме (рис. 1). Доверительный интервал для этих групп определяется по формуле D=±ks, где k – зависит от вида закона распределения и доверительной вероятности Р, а s – среднеквадратичес</w:t>
      </w:r>
      <w:r>
        <w:rPr>
          <w:color w:val="000000"/>
          <w:sz w:val="24"/>
          <w:szCs w:val="24"/>
        </w:rPr>
        <w:t xml:space="preserve">кое отклонение (СКО). В данном случае при Р=0,95 k=1,8. Границы доверительных интервалов 17,01–21,38 и 19,37–24,06.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Таким образом, проведенный кластерный анализ показал, что индивидуальный уровень ВГД в здоровой популяции не имеет нормального распределени</w:t>
      </w:r>
      <w:r>
        <w:rPr>
          <w:color w:val="000000"/>
        </w:rPr>
        <w:t xml:space="preserve">я, а изучаемая выборка состоит из двух групп лиц – одной группы, для которой характерны цифры ВГД низкой нормы, и второй, которая имеет тенденцию к высокой норме ВГД.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Анализ показателей у 491 человека, которым проводилось трехкратное измерение ВГД в течен</w:t>
      </w:r>
      <w:r>
        <w:rPr>
          <w:color w:val="000000"/>
        </w:rPr>
        <w:t xml:space="preserve">ие 5–7 лет, показал, что 61,6% могут переходить из одного кластера в другой. В основном это касалось здоровых лиц, которые относились к границам средней нормы ВГД – 19–22 мм рт. ст. (72,2% обследованных).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Однако были отмечены две группы лиц, которые стойк</w:t>
      </w:r>
      <w:r>
        <w:rPr>
          <w:color w:val="000000"/>
        </w:rPr>
        <w:t>о относились только к одному кластеру. Так, 145 человек (30,8%) постоянно относились к 1 кластеру, то есть имели склонность к низкой норме ВГД. Эти данные очень близко совпадают с показателями глаукомы низкого давления, приводимыми европейскими и американс</w:t>
      </w:r>
      <w:r>
        <w:rPr>
          <w:color w:val="000000"/>
        </w:rPr>
        <w:t>кими авторами, и существенно отличаются от данных по Японии. Впрочем, не исключено, что географические и национальные особенности могут влиять на индивидуальный уровень ВГД в здоровой популяции. К сожалению, такими данными к настоящему моменту мы не распол</w:t>
      </w:r>
      <w:r>
        <w:rPr>
          <w:color w:val="000000"/>
        </w:rPr>
        <w:t xml:space="preserve">агаем. Постоянное нахождение во втором кластере (склонность к гипертензии) имели 35 человек (7,6%), что в принципе совпадает с данными по зоне высокой нормы 23–26 мм рт. ст. (6,5%).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Итак, при анализе данных индивидуального уровня ВГД в здоровой популяции </w:t>
      </w:r>
      <w:r>
        <w:rPr>
          <w:color w:val="000000"/>
        </w:rPr>
        <w:t xml:space="preserve">выявлена очень значимая особенность – наличие двух генетически детерминированных групп в здоровой популяции: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>• группа, если проводить аналогию с уровнем артериального давления, склонных к гипотонии, численностью 30,8% (не исключено, что именно представите</w:t>
      </w:r>
      <w:r>
        <w:rPr>
          <w:color w:val="000000"/>
        </w:rPr>
        <w:t xml:space="preserve">ли этой группы в дальнейшем формируют контингент больных глаукомой низкого давления), </w:t>
      </w:r>
    </w:p>
    <w:p w:rsidR="00000000" w:rsidRDefault="003437DE">
      <w:pPr>
        <w:pStyle w:val="a3"/>
        <w:rPr>
          <w:color w:val="000000"/>
        </w:rPr>
      </w:pPr>
      <w:r>
        <w:rPr>
          <w:color w:val="000000"/>
        </w:rPr>
        <w:t xml:space="preserve">• вторая группа, склонная к гипертензии, численностью 7,6% от здоровой популяции. </w:t>
      </w:r>
    </w:p>
    <w:p w:rsidR="00000000" w:rsidRDefault="003437D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данные, кроме чисто теоретического, имеют несомненное практическое значение. Мы на</w:t>
      </w:r>
      <w:r>
        <w:rPr>
          <w:color w:val="000000"/>
          <w:sz w:val="24"/>
          <w:szCs w:val="24"/>
        </w:rPr>
        <w:t>учились определять склонность к гипотензивным и гипертензионным состояниям в здоровой популяции. В настоящее время продолжается работа с использованием многофакторного математического анализа для того, чтобы иметь возможность различать «гипотоников» и «гип</w:t>
      </w:r>
      <w:r>
        <w:rPr>
          <w:color w:val="000000"/>
          <w:sz w:val="24"/>
          <w:szCs w:val="24"/>
        </w:rPr>
        <w:t>ертоников» среди больных ПОУГ. В этом случае мы сможем более точно определять желаемое давление «цели» у больных и, соответственно, качественно улучшить результаты гипотензивной терапии.</w:t>
      </w:r>
    </w:p>
    <w:p w:rsidR="00000000" w:rsidRDefault="003437DE">
      <w:pPr>
        <w:rPr>
          <w:color w:val="000000"/>
          <w:sz w:val="24"/>
          <w:szCs w:val="24"/>
        </w:rPr>
      </w:pPr>
    </w:p>
    <w:p w:rsidR="003437DE" w:rsidRDefault="003437DE">
      <w:pPr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Статья </w:t>
      </w:r>
      <w:r>
        <w:rPr>
          <w:color w:val="333333"/>
          <w:sz w:val="24"/>
          <w:szCs w:val="24"/>
        </w:rPr>
        <w:t>Проф. В.Н. Алексеева, проф. Е.А. Егорова, к.м.н. Е.Б. Мартыно</w:t>
      </w:r>
      <w:r>
        <w:rPr>
          <w:color w:val="333333"/>
          <w:sz w:val="24"/>
          <w:szCs w:val="24"/>
        </w:rPr>
        <w:t xml:space="preserve">вой </w:t>
      </w:r>
      <w:r>
        <w:rPr>
          <w:color w:val="333333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 xml:space="preserve"> О распределении уровней внутриглазного давления в нормальной популяции</w:t>
      </w:r>
      <w:r>
        <w:rPr>
          <w:color w:val="333333"/>
          <w:sz w:val="24"/>
          <w:szCs w:val="24"/>
          <w:lang w:val="en-US"/>
        </w:rPr>
        <w:t xml:space="preserve"> "</w:t>
      </w:r>
    </w:p>
    <w:sectPr w:rsidR="003437D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52"/>
    <w:rsid w:val="003437DE"/>
    <w:rsid w:val="00E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79F000-F0AA-41EB-813F-719CFDA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12101</Characters>
  <Application>Microsoft Office Word</Application>
  <DocSecurity>0</DocSecurity>
  <Lines>100</Lines>
  <Paragraphs>28</Paragraphs>
  <ScaleCrop>false</ScaleCrop>
  <Company>KM</Company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уровней внутриглазного давления в нормальной популяции</dc:title>
  <dc:subject/>
  <dc:creator>N/A</dc:creator>
  <cp:keywords/>
  <dc:description/>
  <cp:lastModifiedBy>Igor Trofimov</cp:lastModifiedBy>
  <cp:revision>2</cp:revision>
  <dcterms:created xsi:type="dcterms:W3CDTF">2024-08-10T19:45:00Z</dcterms:created>
  <dcterms:modified xsi:type="dcterms:W3CDTF">2024-08-10T19:45:00Z</dcterms:modified>
</cp:coreProperties>
</file>