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7F" w:rsidRDefault="00BB287F" w:rsidP="00446C59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p w:rsidR="00BB287F" w:rsidRDefault="00BB287F" w:rsidP="009B5E04">
      <w:pPr>
        <w:jc w:val="center"/>
        <w:rPr>
          <w:sz w:val="24"/>
          <w:szCs w:val="24"/>
        </w:rPr>
      </w:pPr>
      <w:r>
        <w:rPr>
          <w:sz w:val="36"/>
          <w:szCs w:val="36"/>
        </w:rPr>
        <w:t>Паспортная часть</w:t>
      </w:r>
      <w:r>
        <w:rPr>
          <w:sz w:val="24"/>
          <w:szCs w:val="24"/>
        </w:rPr>
        <w:t>.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Возраст: 42 года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Пол: мужской</w:t>
      </w:r>
    </w:p>
    <w:p w:rsidR="00651B4D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Профессия: 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651B4D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 в клинику: 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курации: </w:t>
      </w:r>
    </w:p>
    <w:p w:rsidR="00BB287F" w:rsidRDefault="00BB287F" w:rsidP="00446C59">
      <w:pPr>
        <w:jc w:val="both"/>
        <w:rPr>
          <w:sz w:val="28"/>
          <w:szCs w:val="28"/>
        </w:rPr>
      </w:pPr>
    </w:p>
    <w:p w:rsidR="00BB287F" w:rsidRDefault="00BB287F" w:rsidP="00446C59">
      <w:pPr>
        <w:pStyle w:val="2"/>
        <w:ind w:left="0"/>
      </w:pPr>
      <w:r>
        <w:t>Жалобы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на момент курации: нет.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на момент поступления</w:t>
      </w:r>
      <w:r>
        <w:rPr>
          <w:b/>
          <w:bCs/>
          <w:i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периодически тянущие тупые боли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правом подреберье, возникающие не зависимо от приема пищи, дня и ночи, проходящие самостоятельно. На тошноту, частый стул (до 5 раз в сутки),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аппетита, общую слабость, снижение трудоспособности.</w:t>
      </w:r>
    </w:p>
    <w:p w:rsidR="00BB287F" w:rsidRDefault="00BB287F" w:rsidP="00446C59">
      <w:pPr>
        <w:jc w:val="both"/>
        <w:rPr>
          <w:sz w:val="32"/>
          <w:szCs w:val="32"/>
        </w:rPr>
      </w:pPr>
    </w:p>
    <w:p w:rsidR="00BB287F" w:rsidRDefault="00BB287F" w:rsidP="00446C59">
      <w:pPr>
        <w:pStyle w:val="3"/>
        <w:ind w:left="0"/>
      </w:pPr>
      <w:r>
        <w:t>История настоящего заболевания</w:t>
      </w:r>
    </w:p>
    <w:p w:rsidR="00BB287F" w:rsidRDefault="00BB287F" w:rsidP="00446C59">
      <w:pPr>
        <w:pStyle w:val="2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больным с декабря 1995 года, когда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перенес острый геп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 В. По поводу которого лечился в ИКБ №1. В последующие годы стал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чать за собой снижение аппетита, слабость. Через полгода стали появляться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значительные боли в правом подреберье. Больной ничего не принимал, боли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ходили самостоятельно. Последующее время чувствовал себя хорошо. 23 октября 2001 года, боли приняли более интенсивный характер, появилась тошнота, была однократная рвота, частый не оформленный стул (до 3-4 раз в сутки). Утром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ратился в поликлинику по месту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ства.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Где были сделаны: осмотр, анализы крови, мочи, УЗИ. Выявлено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личение печени, умеренное окрашивание кожи в желтый цвет, повышение уровня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гаммаглутаминпептидазы. В плановом порядке больной был госпитализирован в Медсанчасть №1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в гастроэнтерологическое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деление, с предварительным диагнозом обострение хр. гепатита.</w:t>
      </w:r>
    </w:p>
    <w:p w:rsidR="00BB287F" w:rsidRDefault="00BB287F" w:rsidP="00446C59">
      <w:pPr>
        <w:pStyle w:val="21"/>
        <w:ind w:left="0"/>
        <w:jc w:val="both"/>
        <w:rPr>
          <w:sz w:val="28"/>
          <w:szCs w:val="28"/>
        </w:rPr>
      </w:pPr>
    </w:p>
    <w:p w:rsidR="00BB287F" w:rsidRDefault="00BB287F" w:rsidP="00446C59">
      <w:pPr>
        <w:pStyle w:val="21"/>
        <w:ind w:left="0"/>
        <w:jc w:val="both"/>
        <w:rPr>
          <w:sz w:val="28"/>
          <w:szCs w:val="28"/>
        </w:rPr>
      </w:pPr>
    </w:p>
    <w:p w:rsidR="00BB287F" w:rsidRDefault="00BB287F" w:rsidP="00446C59">
      <w:pPr>
        <w:pStyle w:val="3"/>
        <w:widowControl w:val="0"/>
        <w:spacing w:line="240" w:lineRule="atLeast"/>
        <w:ind w:left="0"/>
        <w:rPr>
          <w:rFonts w:ascii="Courier New" w:hAnsi="Courier New" w:cs="Courier New"/>
        </w:rPr>
      </w:pPr>
      <w:r>
        <w:t>История жизни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Родился в 1959 году в городе Москве, единственным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ребенком в семье. В школу пошел в 7 лет,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в умственном и физическом развитии от сверстников не отставал, после окончания 8 классов средней школы работал на заводе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грузчиком.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С 1972 года по 1993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работал грузчиком в магазине, затем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тал сентехником.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Семейный анамнез: женат с 1973 года,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сына 22 лет. </w:t>
      </w:r>
    </w:p>
    <w:p w:rsidR="00BB287F" w:rsidRDefault="00BB287F" w:rsidP="00446C59">
      <w:pPr>
        <w:pStyle w:val="20"/>
        <w:ind w:left="0"/>
        <w:rPr>
          <w:sz w:val="28"/>
          <w:szCs w:val="28"/>
        </w:rPr>
      </w:pPr>
      <w:r>
        <w:rPr>
          <w:sz w:val="28"/>
          <w:szCs w:val="28"/>
        </w:rPr>
        <w:t>Наследственность: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Отец и мать умерли от инсульта (страдали гипертонич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болезнью).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анамнез: трудовую деятельность начал в 15 лет. Рабочий день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был всегда нормирован, работа всегда была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связана с тяжелой физической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нагрузкой, плохими условиями труда (холод, сырость, сквозняки) Последнее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 работы сантехник на водоканале. Отпуск предоставлялся ежегодно, как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вило, в летнее время.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Бытовой анамнез: проживает в отдельной квартире со всеми удобствами,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обеспечен относительно удовлетворительно. Питается 3 раза в день не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гулярно.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анамнез: инфекционный гепатит в 1995 году. Брюшной и сыпной тифы, кишечные инфекции заболевания отрицает. Туберкулез, 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лис, и венерические заболевания отрицает.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Привычные интоксикации: курит с 15 лет по одной пачке сигарет в день,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начала заболевания ограничивает себя в курении (одна пачка на 2-3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дня),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 употребляет умеренно.</w:t>
      </w:r>
    </w:p>
    <w:p w:rsidR="00BB287F" w:rsidRDefault="00BB287F" w:rsidP="00446C59">
      <w:pPr>
        <w:pStyle w:val="20"/>
        <w:ind w:left="0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непереносимости лекарственных средств нет.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pStyle w:val="3"/>
        <w:widowControl w:val="0"/>
        <w:spacing w:line="240" w:lineRule="atLeast"/>
        <w:ind w:left="0"/>
      </w:pPr>
      <w:r>
        <w:t>Настоящее состояние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Состояние больного удовольтворительное. Положение активное.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Телосл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правильное, деформаций скелета нет. Рост 175 см, вес 69.5 кг.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кожно-жировая клетчатка выражена умеренно (толщина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подкожно-жировой складки над пупком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2 см). Кожные покровы бледные с желтушным отте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ком.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Тургор кожи сохранен, кожа суховата, эластичность не снижена.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димые слизистые бледно-розового цвета.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Костно-мышечная система</w:t>
      </w:r>
      <w:r>
        <w:rPr>
          <w:sz w:val="28"/>
          <w:szCs w:val="28"/>
        </w:rPr>
        <w:t>. Общее развитие мышечной системы хорошее,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лезненности при ощупывании мышц нет. Деформаций костей, 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ненности при ощупывании суставов нет. Суставы обычной конфигурации. Форма грудной клетки правильная.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узлы: затылочные, передние и задние шейные, подчелюстные,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подмышечные, локтевые, паховые, подколенные, не пальпируются.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Щитовидная железа</w:t>
      </w:r>
      <w:r>
        <w:rPr>
          <w:sz w:val="28"/>
          <w:szCs w:val="28"/>
        </w:rPr>
        <w:t xml:space="preserve"> не увеличена, мягко эластической консистенции. Симпт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 тиреотоксикоза отсутствуют.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Сердечно-сосудистая система</w:t>
      </w:r>
      <w:r>
        <w:rPr>
          <w:sz w:val="28"/>
          <w:szCs w:val="28"/>
        </w:rPr>
        <w:t>. Пульс 75 ударов в минуту, ритмичный, нен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пряжен, удовлетворительного наполнения, одинаковый на правой 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руке.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Пальпация сосудов конечностей и шеи: пульс на магистральных артериях 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них и нижних конечностей (на плечевой, бедренной, подколенной, тыльной арт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 стопы), а также на шее (наружная сонная артерия) и головы (височная арт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рия) не ослаблен. АД 110/70 мм. Рт. Ст.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Пальпация области сердца: верхушечный толчок справа на 1 см отступя от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неключичной линии в пятом межреберье, разлитой, не усиленный, не приподн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мающий.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толчек не определяется. Эпигастральная пульсация ослабевает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соте вдоха.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Пульсация в области восходящей части дуги аорты, легочной артерии нет.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Перкуссия сердца: границы относительной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сердечной тупости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BB287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</w:t>
            </w:r>
          </w:p>
        </w:tc>
        <w:tc>
          <w:tcPr>
            <w:tcW w:w="6713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</w:p>
        </w:tc>
        <w:tc>
          <w:tcPr>
            <w:tcW w:w="6713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см кнаружи от правого края грудины </w:t>
            </w:r>
          </w:p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вер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няя</w:t>
            </w:r>
          </w:p>
        </w:tc>
        <w:tc>
          <w:tcPr>
            <w:tcW w:w="6713" w:type="dxa"/>
          </w:tcPr>
          <w:p w:rsidR="00BB287F" w:rsidRDefault="009B5E04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287F">
              <w:rPr>
                <w:sz w:val="28"/>
                <w:szCs w:val="28"/>
              </w:rPr>
              <w:t xml:space="preserve">в 3-м межреберье по </w:t>
            </w:r>
            <w:r w:rsidR="00BB287F">
              <w:rPr>
                <w:sz w:val="28"/>
                <w:szCs w:val="28"/>
                <w:lang w:val="en-US"/>
              </w:rPr>
              <w:t>l</w:t>
            </w:r>
            <w:r w:rsidR="00BB287F" w:rsidRPr="00BB287F">
              <w:rPr>
                <w:sz w:val="28"/>
                <w:szCs w:val="28"/>
              </w:rPr>
              <w:t>.</w:t>
            </w:r>
            <w:r w:rsidR="00BB287F">
              <w:rPr>
                <w:sz w:val="28"/>
                <w:szCs w:val="28"/>
                <w:lang w:val="en-US"/>
              </w:rPr>
              <w:t>parasternalis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 сос. пучка</w:t>
            </w:r>
          </w:p>
        </w:tc>
        <w:tc>
          <w:tcPr>
            <w:tcW w:w="6713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см.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</w:t>
            </w:r>
          </w:p>
        </w:tc>
        <w:tc>
          <w:tcPr>
            <w:tcW w:w="6713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1,5 см изнутри от левой среднеключичной линии </w:t>
            </w:r>
          </w:p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Перкуторные границы абсолютной сердечной тупости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BB287F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левого края грудины в 4 межреберье </w:t>
            </w:r>
          </w:p>
        </w:tc>
        <w:tc>
          <w:tcPr>
            <w:tcW w:w="236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BB287F" w:rsidRDefault="009B5E04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левого края грудины на 4 ребре 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BB287F" w:rsidRDefault="009B5E04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1см кнутри от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среднеключичной линии в 5</w:t>
            </w:r>
            <w:r w:rsidR="009B5E04">
              <w:rPr>
                <w:sz w:val="28"/>
                <w:szCs w:val="28"/>
              </w:rPr>
              <w:t xml:space="preserve"> 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BB287F" w:rsidRDefault="009B5E04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287F">
              <w:rPr>
                <w:sz w:val="28"/>
                <w:szCs w:val="28"/>
              </w:rPr>
              <w:t>межреберье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B287F" w:rsidRDefault="009B5E04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сердца: тоны сердца приглушены,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соотношение тонов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нено во всех точках аускультации, ослаблены на верхушке, ритмичные. Систолическ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шума на верхушке и точке Боткина нет. На сосуды шеи и в подмышечную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ласть не проводится.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крупных артерий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шумов не выявлено. Пульс пальпируе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крупных артериях верхних и нижних конечностей,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 проекциях висо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и сонных артерий.</w:t>
      </w:r>
    </w:p>
    <w:p w:rsidR="00BB287F" w:rsidRDefault="00BB287F" w:rsidP="00446C59">
      <w:pPr>
        <w:widowControl w:val="0"/>
        <w:spacing w:line="240" w:lineRule="atLeast"/>
        <w:jc w:val="both"/>
        <w:rPr>
          <w:i/>
          <w:iCs/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дыхания</w:t>
      </w:r>
      <w:r>
        <w:rPr>
          <w:sz w:val="28"/>
          <w:szCs w:val="28"/>
        </w:rPr>
        <w:t xml:space="preserve">. Форма грудной клетки правильная, обе половины равномерно участвуют в дыхании. Дыхание ритмичное. Частота дыхания 18 в минуту. 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Пальпация грудной клетки: грудная клетка безболезненная, неэластичная,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совое дрожание проводится над всей поверхностью легких.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Перкуссия легких: при сравнительной перкуссии легких над всей поверхн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легочных полей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ясный легочный звук.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Топографическая перкуссия легких: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l.parasternalis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ребро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l.medioclavicularis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ребро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anterior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ребро</w:t>
            </w:r>
          </w:p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media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posterior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scapulars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l.paravertebralis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</w:t>
            </w:r>
          </w:p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грудного позво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ка</w:t>
            </w:r>
          </w:p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</w:t>
            </w:r>
          </w:p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грудного позво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ка</w:t>
            </w:r>
          </w:p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Высота стояния верхушек легких:</w:t>
      </w:r>
    </w:p>
    <w:tbl>
      <w:tblPr>
        <w:tblW w:w="0" w:type="auto"/>
        <w:tblInd w:w="853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спереди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сзади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 7 шейного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</w:tc>
        <w:tc>
          <w:tcPr>
            <w:tcW w:w="2840" w:type="dxa"/>
          </w:tcPr>
          <w:p w:rsidR="00BB287F" w:rsidRDefault="00BB287F" w:rsidP="00446C59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стого отростка 7 шейного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звонка</w:t>
            </w:r>
          </w:p>
        </w:tc>
      </w:tr>
    </w:tbl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легочных краев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справа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7 см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слева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7 см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 легких: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дыхание жесткое,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ослабленное в нижних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отделах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ких. Хрипов нет.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Бронхофония определяется одинаково с обеих сторон. 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пищеварения</w:t>
      </w:r>
      <w:r>
        <w:rPr>
          <w:sz w:val="28"/>
          <w:szCs w:val="28"/>
        </w:rPr>
        <w:t>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Осмотр ротовой полости: губы сухие, красная кайма губ бледная, сухая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реход в слизистую часть губы выражен, язык влажный, обложен сероватым налетом. Десны розовые,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не кровоточат, без воспалительных явлений. Миндалины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за не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 дужки не выступают. Слизистая глотки влажная, розовая,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тая.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ЖИВОТ. Осмотр живота: живот симметричный с обеих сторон, брюшная стенка в акте дыхания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участвует. При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поверхностной пальпации живот мягкий, чувств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телен в правом подреберье.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пальпации в левой подвздошной области определяется безболе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ненная, ровная, плотноэластической консистенции сигмовидная кишка. </w:t>
      </w:r>
      <w:r>
        <w:rPr>
          <w:sz w:val="28"/>
          <w:szCs w:val="28"/>
          <w:u w:val="single"/>
        </w:rPr>
        <w:t>Слепая и поперечно-ободочная кишка</w:t>
      </w:r>
      <w:r>
        <w:rPr>
          <w:sz w:val="28"/>
          <w:szCs w:val="28"/>
        </w:rPr>
        <w:t xml:space="preserve"> не пальпируются. При ориентирово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перкуссии свободный газ и жидкость в брюшной полости не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ются. Аускультация: перистальтика кишечника обычная.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Желудок</w:t>
      </w:r>
      <w:r>
        <w:rPr>
          <w:sz w:val="28"/>
          <w:szCs w:val="28"/>
        </w:rPr>
        <w:t>: границы не определяются, отмечается шум плеска, видимой перистал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тики не отмечается. Кишечник. Ощупывание по ходу ободочной кишки безболе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ненно, шум плеска не определяется.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  <w:u w:val="single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Печень и желчный пузырь</w:t>
      </w:r>
      <w:r>
        <w:rPr>
          <w:sz w:val="28"/>
          <w:szCs w:val="28"/>
        </w:rPr>
        <w:t>. Нижний край печени из подреберной дуги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ходит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2см. Границы печени по Курлову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11,9,8. При пальпации печень слегка 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ненна, плотная, край тупой. Желчный пузырь не прощупывается. Симптомы Мюсси, Мерфи, отрицательный. Френикус симптом отрицательный. Поджел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дочная железа не прощупывается. 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Селезенка</w:t>
      </w:r>
      <w:r>
        <w:rPr>
          <w:sz w:val="28"/>
          <w:szCs w:val="28"/>
        </w:rPr>
        <w:t xml:space="preserve"> не пальпируется, перкуторные границы селезенки: верхняя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в 9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и ни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няя в 11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межреберье по средней подмышечной линии.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Мочеполовая система</w:t>
      </w:r>
      <w:r>
        <w:rPr>
          <w:sz w:val="28"/>
          <w:szCs w:val="28"/>
        </w:rPr>
        <w:t>. Почки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 проекции мочеточников не пальпир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покалачивание по поясничной области безболезненно. Наружные половые органы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развиты правильно, в мошонке пальпируются яички, пло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ноэластической консистенции.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Нервно-психический статус</w:t>
      </w:r>
      <w:r>
        <w:rPr>
          <w:sz w:val="28"/>
          <w:szCs w:val="28"/>
        </w:rPr>
        <w:t>. Сознание ясное, речь внятная. Больной ориент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 в месте, пространстве и времени. Сон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и память сохранены. Со стороны двигательной и чувствительных сфер патологии не выявлено. Походка без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 Сухожильные рефлексы без патологии.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jc w:val="both"/>
        <w:rPr>
          <w:sz w:val="28"/>
          <w:szCs w:val="28"/>
        </w:rPr>
      </w:pP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 обследования больного</w:t>
      </w:r>
      <w:r>
        <w:rPr>
          <w:sz w:val="28"/>
          <w:szCs w:val="28"/>
        </w:rPr>
        <w:t>.</w:t>
      </w:r>
    </w:p>
    <w:p w:rsidR="00BB287F" w:rsidRDefault="00BB287F" w:rsidP="00446C5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</w:t>
      </w:r>
    </w:p>
    <w:p w:rsidR="00BB287F" w:rsidRDefault="00BB287F" w:rsidP="00446C5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мочи</w:t>
      </w:r>
    </w:p>
    <w:p w:rsidR="00BB287F" w:rsidRDefault="00BB287F" w:rsidP="00446C5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ВИЧ и на RW</w:t>
      </w:r>
    </w:p>
    <w:p w:rsidR="00BB287F" w:rsidRDefault="00BB287F" w:rsidP="00446C5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крови: АЛТ, АСТ, холестерин, липопротеиды, кре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тинин, билирубин,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натрий, хлор, калий.</w:t>
      </w:r>
    </w:p>
    <w:p w:rsidR="00BB287F" w:rsidRDefault="00BB287F" w:rsidP="00446C5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УЗИ органов брюшной полости (тщательно печень, селезенка)</w:t>
      </w:r>
    </w:p>
    <w:p w:rsidR="00BB287F" w:rsidRDefault="00BB287F" w:rsidP="00446C5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хирурга.</w:t>
      </w:r>
    </w:p>
    <w:p w:rsidR="00BB287F" w:rsidRDefault="00BB287F" w:rsidP="00446C59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ЭКГ</w:t>
      </w:r>
    </w:p>
    <w:p w:rsidR="00BB287F" w:rsidRDefault="00BB287F" w:rsidP="00446C59">
      <w:pPr>
        <w:jc w:val="both"/>
        <w:rPr>
          <w:sz w:val="28"/>
          <w:szCs w:val="28"/>
        </w:rPr>
      </w:pPr>
    </w:p>
    <w:p w:rsidR="00BB287F" w:rsidRDefault="00BB287F" w:rsidP="00446C59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Данные лабораторных исследований</w:t>
      </w:r>
      <w:r>
        <w:rPr>
          <w:sz w:val="28"/>
          <w:szCs w:val="28"/>
        </w:rPr>
        <w:t>:</w:t>
      </w:r>
    </w:p>
    <w:p w:rsidR="00BB287F" w:rsidRDefault="00BB287F" w:rsidP="00446C59">
      <w:pPr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Клинический анализ крови</w:t>
      </w:r>
      <w:r>
        <w:rPr>
          <w:sz w:val="28"/>
          <w:szCs w:val="28"/>
        </w:rPr>
        <w:t>.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146 г\л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4.7 х 10 в 12 степени на литр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цветной показатель 0.96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лейкоцитов 11 х 10 в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9 степени на литр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1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51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лимфоциты 17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моноциты 4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СОЭ 25 мм\ч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pStyle w:val="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Анализ мочи 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цвет насыщенно-желтый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реакция щелочная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1012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белок 0.033 г\л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сахар 0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лейкоциты 1-2 в поле зрения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свежие 0-2 в поле зрения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 1-3 в поле зрения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билирубин 1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уробилинойды 1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Биохимический анализ крови</w:t>
      </w:r>
      <w:r>
        <w:rPr>
          <w:sz w:val="28"/>
          <w:szCs w:val="28"/>
        </w:rPr>
        <w:t>: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Альбумины 39 %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К – 5,3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Альфа 1 – 1,7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Натрий - 143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Альфа 2 – 9,9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Глюкоза – 4,2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Бета 21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Протромбиновый индекс 65%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Гамма 14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Тимоловая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проба 13,1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белок 91 г\л 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мочевина 5.4 ммоль\л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креатинин 0,07</w:t>
      </w:r>
      <w:r w:rsidR="009B5E04">
        <w:rPr>
          <w:sz w:val="28"/>
          <w:szCs w:val="28"/>
        </w:rPr>
        <w:t xml:space="preserve"> 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холестерин 2.7 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билирубин общ. 30,5 мкмоль\л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АлАТ – 20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АсАТ – 91</w:t>
      </w:r>
    </w:p>
    <w:p w:rsidR="00BB287F" w:rsidRDefault="00BB287F" w:rsidP="00446C59">
      <w:pPr>
        <w:widowControl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ЩФ - 290 </w:t>
      </w:r>
    </w:p>
    <w:p w:rsidR="00BB287F" w:rsidRDefault="00BB287F" w:rsidP="00446C59">
      <w:pPr>
        <w:pStyle w:val="4"/>
        <w:ind w:left="0"/>
        <w:rPr>
          <w:sz w:val="28"/>
          <w:szCs w:val="28"/>
        </w:rPr>
      </w:pPr>
    </w:p>
    <w:p w:rsidR="00BB287F" w:rsidRDefault="00BB287F" w:rsidP="00446C59"/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</w:trPr>
        <w:tc>
          <w:tcPr>
            <w:tcW w:w="6946" w:type="dxa"/>
          </w:tcPr>
          <w:p w:rsidR="00BB287F" w:rsidRDefault="00BB287F" w:rsidP="00446C5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Вирусологическое исследование. </w:t>
            </w:r>
          </w:p>
          <w:p w:rsidR="00BB287F" w:rsidRDefault="00BB287F" w:rsidP="00446C5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</w:trPr>
        <w:tc>
          <w:tcPr>
            <w:tcW w:w="6946" w:type="dxa"/>
          </w:tcPr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С - (--)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</w:trPr>
        <w:tc>
          <w:tcPr>
            <w:tcW w:w="6946" w:type="dxa"/>
          </w:tcPr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А - HAV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IgM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(--)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</w:trPr>
        <w:tc>
          <w:tcPr>
            <w:tcW w:w="6946" w:type="dxa"/>
          </w:tcPr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В - HBsAg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(--)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</w:trPr>
        <w:tc>
          <w:tcPr>
            <w:tcW w:w="6946" w:type="dxa"/>
          </w:tcPr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В - HBеAВ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(--)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</w:trPr>
        <w:tc>
          <w:tcPr>
            <w:tcW w:w="6946" w:type="dxa"/>
          </w:tcPr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В - HBсоrAВ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общ.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(--)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</w:trPr>
        <w:tc>
          <w:tcPr>
            <w:tcW w:w="6946" w:type="dxa"/>
          </w:tcPr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В - HBsAg</w:t>
            </w:r>
            <w:r w:rsidR="009B5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(--) </w:t>
            </w: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гепатит С anti-HCV (--)</w:t>
            </w:r>
            <w:r w:rsidR="009B5E04">
              <w:rPr>
                <w:sz w:val="28"/>
                <w:szCs w:val="28"/>
              </w:rPr>
              <w:t xml:space="preserve"> </w:t>
            </w:r>
          </w:p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</w:p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УЗИ органов брюшной полости</w:t>
            </w:r>
          </w:p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Печень</w:t>
            </w:r>
            <w:r>
              <w:rPr>
                <w:sz w:val="28"/>
                <w:szCs w:val="28"/>
              </w:rPr>
              <w:t xml:space="preserve"> увеличена (левая доля толщина 111 мм, правая 106мм)</w:t>
            </w:r>
          </w:p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Контуры ровные, четкие. Структура неоднородная, диффузная. Эхогенность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вышена. Внутрипеченочные протоки не расширенны. Воротная вена не расш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ренна. Нижняя полая в. не расширенна. Сосудистый рисунок в норме.</w:t>
            </w:r>
          </w:p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Заключение: Гепатомегалия. Диффузные изменения печени.</w:t>
            </w:r>
          </w:p>
          <w:p w:rsidR="00BB287F" w:rsidRDefault="00BB287F" w:rsidP="00446C59">
            <w:pPr>
              <w:jc w:val="both"/>
              <w:rPr>
                <w:sz w:val="28"/>
                <w:szCs w:val="28"/>
              </w:rPr>
            </w:pPr>
          </w:p>
        </w:tc>
      </w:tr>
    </w:tbl>
    <w:p w:rsidR="00BB287F" w:rsidRDefault="00BB287F" w:rsidP="00446C59">
      <w:pPr>
        <w:pStyle w:val="5"/>
        <w:ind w:left="0"/>
        <w:rPr>
          <w:sz w:val="28"/>
          <w:szCs w:val="28"/>
        </w:rPr>
      </w:pPr>
      <w:r>
        <w:rPr>
          <w:sz w:val="28"/>
          <w:szCs w:val="28"/>
        </w:rPr>
        <w:t>План лечения: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 постельный - для уменьшения физической нагрузки и, вследствие этого, расхода глюкозы и гликогена печени. Стол - 5-й (белка 80-100 г, жиров 80 г, угл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водов 450-500 г; 3000-3500 ккал). Необходимо обеспечить достаточный уровень жидкости в организме путем обильного питья или внутривенных инфузий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творов NaCl, глюкозы и др. при необходимости.</w:t>
      </w:r>
    </w:p>
    <w:p w:rsidR="00BB287F" w:rsidRDefault="00BB287F" w:rsidP="00446C5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Лекарственные назначения.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Раствор глюкозы (5% - 500 мл) - внутривенно. Данное назначение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для улучшения обменных процессов в печени, улучшения ее энергетического снабжения.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Реополиглюкин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(400 мл) - внутривенно. Данное назначение необходимо для улучшения микроциркуляции в тканях, в том числе в печени, а также для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чения объема жидкости в организме для уменьшения концентрации токсических веществ, как выделяющихся при развитии патологического процесса, так и обе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живаемых в норме печенью, для создания условий для скорейшего выведения то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синов из организма.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недостаточном диурезе (не соответствующем объему вводимой жидкости и потерям ее другими путями) можно назначить мочегонные, в частности, лазикс для поддержания диуреза.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Рекомендуется назначить гепатопротекторы, такие, как эссенциале, Лив-52,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лимарин для улучшения обменных процессов в клетках печени, ускорения реп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ративных процессов в печеночных клетках.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4. Также показана витаминотерапия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так как из-за патологического процесса в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патоцитах способность печени накапливать витамины или синтезировать их уменьшена. Наибольшая потребность у печени имеется в аскорбиновой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слоте, которую назначают в дозе до 1 г в сутки. Также имеют значение витамин В1,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собствующий детоксикационной функции печени, витамин РР, участвующий в гликогенообразовании. 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5. Для улучшения обменных процессов можно назначить рибокси</w:t>
      </w:r>
      <w:r>
        <w:rPr>
          <w:b/>
          <w:bCs/>
          <w:sz w:val="28"/>
          <w:szCs w:val="28"/>
        </w:rPr>
        <w:t xml:space="preserve">н </w:t>
      </w:r>
      <w:r>
        <w:rPr>
          <w:sz w:val="28"/>
          <w:szCs w:val="28"/>
        </w:rPr>
        <w:t>по 1-2 табле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 в сутки.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6. Для профилактики потери калия, особенно в случае использования диур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тиков, рекомендуется использовать препараты калия, такие, например, как панангин внутривенно 10 мл в резинку капельницы или его же в таблетках. </w:t>
      </w: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sz w:val="28"/>
          <w:szCs w:val="28"/>
        </w:rPr>
        <w:t>7. По показаниям симптоматически стоит назначить но-шпу при болях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печени, вызванной спастическим состоянием желчных путей, а так же перераст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жением капсулы печени, анальгин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димедрол при сильных болях или бессонн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це.</w:t>
      </w:r>
    </w:p>
    <w:p w:rsidR="00BB287F" w:rsidRDefault="00BB287F" w:rsidP="00446C59">
      <w:pPr>
        <w:rPr>
          <w:b/>
          <w:bCs/>
          <w:sz w:val="28"/>
          <w:szCs w:val="28"/>
        </w:rPr>
      </w:pPr>
    </w:p>
    <w:p w:rsidR="00BB287F" w:rsidRDefault="00BB287F" w:rsidP="00446C59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Клинический диагноз</w:t>
      </w:r>
      <w:r>
        <w:rPr>
          <w:sz w:val="28"/>
          <w:szCs w:val="28"/>
        </w:rPr>
        <w:t>: Обострение</w:t>
      </w:r>
      <w:r w:rsidR="009B5E04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хронического гепатита В.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93"/>
        <w:gridCol w:w="374"/>
      </w:tblGrid>
      <w:tr w:rsidR="00BB287F">
        <w:tblPrEx>
          <w:tblCellMar>
            <w:top w:w="0" w:type="dxa"/>
            <w:bottom w:w="0" w:type="dxa"/>
          </w:tblCellMar>
        </w:tblPrEx>
        <w:trPr>
          <w:gridAfter w:val="2"/>
          <w:wAfter w:w="567" w:type="dxa"/>
        </w:trPr>
        <w:tc>
          <w:tcPr>
            <w:tcW w:w="7583" w:type="dxa"/>
          </w:tcPr>
          <w:p w:rsidR="00BB287F" w:rsidRDefault="00BB287F" w:rsidP="00446C59">
            <w:pPr>
              <w:jc w:val="both"/>
              <w:rPr>
                <w:sz w:val="22"/>
                <w:szCs w:val="22"/>
              </w:rPr>
            </w:pPr>
          </w:p>
        </w:tc>
      </w:tr>
      <w:tr w:rsidR="00BB287F">
        <w:tblPrEx>
          <w:tblCellMar>
            <w:top w:w="0" w:type="dxa"/>
            <w:bottom w:w="0" w:type="dxa"/>
          </w:tblCellMar>
        </w:tblPrEx>
        <w:tc>
          <w:tcPr>
            <w:tcW w:w="7776" w:type="dxa"/>
            <w:gridSpan w:val="2"/>
          </w:tcPr>
          <w:p w:rsidR="00BB287F" w:rsidRDefault="00BB287F" w:rsidP="00446C59">
            <w:pPr>
              <w:jc w:val="both"/>
              <w:rPr>
                <w:b/>
                <w:bCs/>
                <w:position w:val="2"/>
                <w:sz w:val="28"/>
                <w:szCs w:val="28"/>
              </w:rPr>
            </w:pPr>
            <w:r>
              <w:rPr>
                <w:b/>
                <w:bCs/>
                <w:position w:val="2"/>
                <w:sz w:val="28"/>
                <w:szCs w:val="28"/>
              </w:rPr>
              <w:t>Обоснование диагноза:</w:t>
            </w:r>
          </w:p>
        </w:tc>
        <w:tc>
          <w:tcPr>
            <w:tcW w:w="374" w:type="dxa"/>
            <w:tcBorders>
              <w:right w:val="single" w:sz="6" w:space="0" w:color="auto"/>
            </w:tcBorders>
          </w:tcPr>
          <w:p w:rsidR="00BB287F" w:rsidRDefault="00BB287F" w:rsidP="00446C59">
            <w:pPr>
              <w:jc w:val="both"/>
              <w:rPr>
                <w:b/>
                <w:bCs/>
                <w:position w:val="2"/>
                <w:sz w:val="22"/>
                <w:szCs w:val="22"/>
              </w:rPr>
            </w:pPr>
          </w:p>
        </w:tc>
      </w:tr>
    </w:tbl>
    <w:p w:rsidR="00BB287F" w:rsidRDefault="00BB287F" w:rsidP="00446C59"/>
    <w:p w:rsidR="009B5E04" w:rsidRDefault="009B5E04" w:rsidP="00446C59">
      <w:pPr>
        <w:tabs>
          <w:tab w:val="left" w:pos="851"/>
          <w:tab w:val="left" w:pos="6663"/>
          <w:tab w:val="left" w:pos="7513"/>
        </w:tabs>
        <w:jc w:val="both"/>
        <w:rPr>
          <w:sz w:val="28"/>
          <w:szCs w:val="28"/>
        </w:rPr>
      </w:pPr>
      <w:r>
        <w:rPr>
          <w:position w:val="2"/>
          <w:sz w:val="28"/>
          <w:szCs w:val="28"/>
          <w:u w:val="single"/>
        </w:rPr>
        <w:t>На основании жалоб больного</w:t>
      </w:r>
      <w:r>
        <w:rPr>
          <w:position w:val="2"/>
          <w:sz w:val="28"/>
          <w:szCs w:val="28"/>
        </w:rPr>
        <w:t xml:space="preserve"> (</w:t>
      </w:r>
      <w:r>
        <w:rPr>
          <w:sz w:val="28"/>
          <w:szCs w:val="28"/>
        </w:rPr>
        <w:t>на периодически тянущие тупые боли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правом подреберье, проходящие самостоятельно. На тошноту, частый стул (до 5 раз в сутки), снижение аппетита, общую слабость, снижение трудоспособности</w:t>
      </w:r>
      <w:r>
        <w:rPr>
          <w:position w:val="2"/>
          <w:sz w:val="28"/>
          <w:szCs w:val="28"/>
        </w:rPr>
        <w:t>), да</w:t>
      </w:r>
      <w:r>
        <w:rPr>
          <w:position w:val="2"/>
          <w:sz w:val="28"/>
          <w:szCs w:val="28"/>
        </w:rPr>
        <w:t>н</w:t>
      </w:r>
      <w:r>
        <w:rPr>
          <w:position w:val="2"/>
          <w:sz w:val="28"/>
          <w:szCs w:val="28"/>
        </w:rPr>
        <w:t xml:space="preserve">ных </w:t>
      </w:r>
      <w:r>
        <w:rPr>
          <w:position w:val="2"/>
          <w:sz w:val="28"/>
          <w:szCs w:val="28"/>
          <w:u w:val="single"/>
        </w:rPr>
        <w:t>анамнеза :</w:t>
      </w:r>
      <w:r>
        <w:rPr>
          <w:position w:val="2"/>
          <w:sz w:val="28"/>
          <w:szCs w:val="28"/>
        </w:rPr>
        <w:t xml:space="preserve"> наличие перенесенного в 1995 году гепатита В, постепенное нач</w:t>
      </w:r>
      <w:r>
        <w:rPr>
          <w:position w:val="2"/>
          <w:sz w:val="28"/>
          <w:szCs w:val="28"/>
        </w:rPr>
        <w:t>а</w:t>
      </w:r>
      <w:r>
        <w:rPr>
          <w:position w:val="2"/>
          <w:sz w:val="28"/>
          <w:szCs w:val="28"/>
        </w:rPr>
        <w:t>ло с явлениями интоксикации , последующего желтушного периода (с появлен</w:t>
      </w:r>
      <w:r>
        <w:rPr>
          <w:position w:val="2"/>
          <w:sz w:val="28"/>
          <w:szCs w:val="28"/>
        </w:rPr>
        <w:t>и</w:t>
      </w:r>
      <w:r>
        <w:rPr>
          <w:position w:val="2"/>
          <w:sz w:val="28"/>
          <w:szCs w:val="28"/>
        </w:rPr>
        <w:t xml:space="preserve">ем желтухи самочувствие больного не улучшилось), </w:t>
      </w:r>
      <w:r>
        <w:rPr>
          <w:position w:val="2"/>
          <w:sz w:val="28"/>
          <w:szCs w:val="28"/>
          <w:u w:val="single"/>
        </w:rPr>
        <w:t>результатов физикального обследования</w:t>
      </w:r>
      <w:r>
        <w:rPr>
          <w:position w:val="2"/>
          <w:sz w:val="28"/>
          <w:szCs w:val="28"/>
        </w:rPr>
        <w:t xml:space="preserve"> : увел</w:t>
      </w:r>
      <w:r>
        <w:rPr>
          <w:position w:val="2"/>
          <w:sz w:val="28"/>
          <w:szCs w:val="28"/>
        </w:rPr>
        <w:t>и</w:t>
      </w:r>
      <w:r>
        <w:rPr>
          <w:position w:val="2"/>
          <w:sz w:val="28"/>
          <w:szCs w:val="28"/>
        </w:rPr>
        <w:t>ченная печень (+2 см), при пальпации плотная, болезненная, край ее тупой, цвет кожи бледный с желтоватым оттенком), можно заподо</w:t>
      </w:r>
      <w:r>
        <w:rPr>
          <w:position w:val="2"/>
          <w:sz w:val="28"/>
          <w:szCs w:val="28"/>
        </w:rPr>
        <w:t>з</w:t>
      </w:r>
      <w:r>
        <w:rPr>
          <w:position w:val="2"/>
          <w:sz w:val="28"/>
          <w:szCs w:val="28"/>
        </w:rPr>
        <w:t>рить диагноз хронического гепатита. Хронический характер заболевания подтвержд</w:t>
      </w:r>
      <w:r>
        <w:rPr>
          <w:position w:val="2"/>
          <w:sz w:val="28"/>
          <w:szCs w:val="28"/>
        </w:rPr>
        <w:t>а</w:t>
      </w:r>
      <w:r>
        <w:rPr>
          <w:position w:val="2"/>
          <w:sz w:val="28"/>
          <w:szCs w:val="28"/>
        </w:rPr>
        <w:t>ется также характерными лабораторными данными: ни</w:t>
      </w:r>
      <w:r>
        <w:rPr>
          <w:sz w:val="28"/>
          <w:szCs w:val="28"/>
        </w:rPr>
        <w:t>зкая АлАТ 20, повыше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АсАТ 91, повышенная щелочная фофсотаза 290 г/л, диспротеинемия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альбуминов 39, снижение протромбинового индекса 65%, лейкоцитоз 11 х 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>г/л, повышенная СОЭ 25 мм/час; и данным УЗИ.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За активность процесса с умеренной активностью говорит</w:t>
      </w:r>
      <w:r>
        <w:rPr>
          <w:sz w:val="28"/>
          <w:szCs w:val="28"/>
        </w:rPr>
        <w:t>: СОЭ 25, умеренное повышение билирубина 30,5, повышение АсАТ 91, повышение -глобулинов,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вышение тимоловой пробы 13,1.</w:t>
      </w:r>
    </w:p>
    <w:p w:rsidR="009B5E04" w:rsidRDefault="009B5E04" w:rsidP="00446C5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внутрипеченочный холестаз</w:t>
      </w:r>
      <w:r>
        <w:rPr>
          <w:sz w:val="28"/>
          <w:szCs w:val="28"/>
        </w:rPr>
        <w:t xml:space="preserve"> говорят характерные жалобы (слабость, боли в правом подреберье, снижение аппетита, трудоспособности),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зикальные данные (желтуха, гепатомегалия), лабораторные данные (билирубинемия 1, уробилин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рия 1, в крови повышение билирубина), а также данные УЗИ.</w:t>
      </w:r>
    </w:p>
    <w:p w:rsidR="009B5E04" w:rsidRDefault="009B5E04" w:rsidP="00446C5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За недостаточность функции гепатоцитов говорит: </w:t>
      </w:r>
      <w:r>
        <w:rPr>
          <w:sz w:val="28"/>
          <w:szCs w:val="28"/>
        </w:rPr>
        <w:t>лабораторные данные (ди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протеинемия, снижение холестерина, протромбиновый индекс 65), а также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вреждении гепатоцитов говорит повешение уровня аминотрансфераз в крови.</w:t>
      </w:r>
    </w:p>
    <w:p w:rsidR="009B5E04" w:rsidRDefault="009B5E04" w:rsidP="00446C59">
      <w:pPr>
        <w:jc w:val="both"/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t>Неспецифический характер заболевания подтверждается отрицательными резул</w:t>
      </w:r>
      <w:r>
        <w:rPr>
          <w:position w:val="2"/>
          <w:sz w:val="28"/>
          <w:szCs w:val="28"/>
        </w:rPr>
        <w:t>ь</w:t>
      </w:r>
      <w:r>
        <w:rPr>
          <w:position w:val="2"/>
          <w:sz w:val="28"/>
          <w:szCs w:val="28"/>
        </w:rPr>
        <w:t xml:space="preserve">татами вирусологических исследований на HAV IgM, HBsAg, HBeAB, HBcorAB, anti-HCV. </w:t>
      </w:r>
    </w:p>
    <w:p w:rsidR="009B5E04" w:rsidRDefault="009B5E04" w:rsidP="00446C59">
      <w:pPr>
        <w:jc w:val="both"/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t>Таким образом, можно предположить окончательный диагноз : Обострение хр</w:t>
      </w:r>
      <w:r>
        <w:rPr>
          <w:position w:val="2"/>
          <w:sz w:val="28"/>
          <w:szCs w:val="28"/>
        </w:rPr>
        <w:t>о</w:t>
      </w:r>
      <w:r>
        <w:rPr>
          <w:position w:val="2"/>
          <w:sz w:val="28"/>
          <w:szCs w:val="28"/>
        </w:rPr>
        <w:t>нического гепатита В.</w:t>
      </w:r>
    </w:p>
    <w:p w:rsidR="009B5E04" w:rsidRDefault="009B5E04" w:rsidP="00446C59">
      <w:pPr>
        <w:jc w:val="both"/>
        <w:rPr>
          <w:position w:val="2"/>
          <w:sz w:val="28"/>
          <w:szCs w:val="28"/>
        </w:rPr>
      </w:pPr>
      <w:r>
        <w:rPr>
          <w:position w:val="2"/>
          <w:sz w:val="28"/>
          <w:szCs w:val="28"/>
        </w:rPr>
        <w:t>Хронический вирусный активный гепатит с умеренно выраженной а</w:t>
      </w:r>
      <w:r>
        <w:rPr>
          <w:position w:val="2"/>
          <w:sz w:val="28"/>
          <w:szCs w:val="28"/>
        </w:rPr>
        <w:t>к</w:t>
      </w:r>
      <w:r>
        <w:rPr>
          <w:position w:val="2"/>
          <w:sz w:val="28"/>
          <w:szCs w:val="28"/>
        </w:rPr>
        <w:t>тивностью (неспецифической этиологии) с внутрипеченочным холестазом, в фазе субко</w:t>
      </w:r>
      <w:r>
        <w:rPr>
          <w:position w:val="2"/>
          <w:sz w:val="28"/>
          <w:szCs w:val="28"/>
        </w:rPr>
        <w:t>м</w:t>
      </w:r>
      <w:r>
        <w:rPr>
          <w:position w:val="2"/>
          <w:sz w:val="28"/>
          <w:szCs w:val="28"/>
        </w:rPr>
        <w:t>пенсации.</w:t>
      </w:r>
    </w:p>
    <w:p w:rsidR="009B5E04" w:rsidRDefault="009B5E04" w:rsidP="00446C59">
      <w:pPr>
        <w:rPr>
          <w:b/>
          <w:bCs/>
          <w:sz w:val="28"/>
          <w:szCs w:val="28"/>
        </w:rPr>
      </w:pPr>
    </w:p>
    <w:p w:rsidR="009B5E04" w:rsidRDefault="009B5E04" w:rsidP="00446C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диагноз.</w:t>
      </w:r>
    </w:p>
    <w:p w:rsidR="009B5E04" w:rsidRDefault="009B5E04" w:rsidP="00446C59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Весь симптомокомплекс у данного больного позволяет поставить нам диагноз вирусного гепатита. Но для постановки окончательного диагноза требуется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дифференциальной диагностики между сходными заболеваниями, как инфекционными (желтушные формы лептоспироза, псевдотуберкулеза), так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инфекционными (острый алкогольный гепатит, токсические гепатиты, механич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желтуха).</w:t>
      </w:r>
    </w:p>
    <w:p w:rsidR="009B5E04" w:rsidRDefault="009B5E04" w:rsidP="00446C59">
      <w:pPr>
        <w:pStyle w:val="2"/>
        <w:keepNext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Проведем дифференциацию между вирусным гепатитом и желтушной формой лептоспироза, так как при этих заболеваниях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является желтуха, болезненная увеличенная печень, высокая билирубинэмия. Но для лептоспироза важны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эпидимиол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гического анамнеза: купание в загрязненных водоемах, контакт с животными где-то за 30 дней до заболевания, что больной отр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цает. У данного больного в анамнезе имеется перенесенный вир. Гепатит В в 1995 году, что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воляет нам делать предположения в сторону гепатита. Различны и преджелту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ные периоды. При лептоспирозе токсические проявления выражены ярче и имеют особенности: больные жалуются на высокую температуру тела, сильную голо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боль, большую слабость; очень характерно - миалгии, особенно икроножных мышц; заболевание начинается остро (в отличие от данного больного), при этом могут выявляется герпетические высыпания, полиморфная сыпь, увеличение лимфатических узлов. При гепатите В или С (и у больного), выраженной лих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радки может не быть, выявляются более астенические симптомы (слабость, 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жение трудоспособности, быстрая утомляемость ухудшение аппетита, тошнота). С возникновением желтухи симптомы интоксикации при лептоспирозе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шаются. При вирусном гепатите В или С, наоборот - усиливаются, что мы и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дим у больного: присоединение новых жалоб на головные боли, рвота) Но при лептоспирозе в желтушном периоде мы можем выявлять геморрагии и поражение почек (анурию, болезне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в поясничной области, протеинурию, азотэмию), чего мы не видим у больного. Окончательно отдеффиринцировать эти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позволят лабораторные методы. Очень важны биохимические показатели: при высоком уровне билирубина при лептоспирозе умеренно повышена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ность АлАТ и АсАТ, в отличии от гепатита. При лептоспирозе же наблюдается повышение активности щелочной фосфотазы, небольшое снижение протромб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нового индекса, белково-осадочные пробы обычно не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меняются. У больного </w:t>
      </w:r>
      <w:r>
        <w:rPr>
          <w:sz w:val="28"/>
          <w:szCs w:val="28"/>
        </w:rPr>
        <w:lastRenderedPageBreak/>
        <w:t>высокая активность АсАТ при высоком уровне билирубина, АлАТ снижено,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менены белковые показатели, что дает еще один "плюс" в пользу вирусного геп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тита. И, наконец, лабораторные исследования УЗИ дают картину больше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терную для хр. гепатитиа.</w:t>
      </w:r>
    </w:p>
    <w:p w:rsidR="009B5E04" w:rsidRDefault="009B5E04" w:rsidP="00446C59">
      <w:pPr>
        <w:rPr>
          <w:sz w:val="28"/>
          <w:szCs w:val="28"/>
        </w:rPr>
      </w:pPr>
      <w:r>
        <w:rPr>
          <w:sz w:val="28"/>
          <w:szCs w:val="28"/>
        </w:rPr>
        <w:t>Данное заболевание необходимо дифференцировать с вирусным гепатитом А. Прежде всего, при гепатите А другая серологич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картина, во всяком случае, имеется aHAV. Кроме того, при гепатите А имеет место улучшение самочувствия при наступл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желтухи, чего нет у данного больного.</w:t>
      </w:r>
    </w:p>
    <w:p w:rsidR="009B5E04" w:rsidRDefault="009B5E04" w:rsidP="00446C59">
      <w:pPr>
        <w:pStyle w:val="2"/>
        <w:keepNext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Трудна дифференциальная диагностика у данного больного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русного гепатита и механических желтух, так как начало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 постепенное, без выраженных симптомов интоксикации, имела место желтуха, высокий уровень общего бил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рубина, что характерно для обоих заболеваний. Механическая желтуха развив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результате частичной или полной непроходимости желчевыводящих путей с нарушением пассажа желчи в кишечник. Она чаще обусловлена холедохолити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зом, стриктурой большого дуоденального сосочка, опухолью головки поджел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дочной железы и желчевыводящих путей. В отличии от гепатита для механич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желтухи не характерен особенный эпидемиологический анамнез.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развиваются постепенно, но для гепатита характерна цикличность (предже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тушный период, желтуха,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од реконвалесценции, что и видим у больного), для механической желтухи - медленное, прогрессирующее нарастание симптомов. Так при подпеченочной желтухе кожный покров приобретает желтовато-зеленую окраску, а при обтурирующих желчевыводящие пути опухолях - характерный землистый оттенок. При очень длительной механической желтухе кожный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 приобретает черновато-бронзовую окраску. При вирусных гепатитах цвет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 желтый с шафрановым оттенком, меняется только его интенсивность. У данного больного отмечалась желтуха в сочетании с бледностью кожных покровов. Ко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ный зуд при механических желтухах выражен, при гепатитах он может быть только при явлениях холестаза, и не наблюдается у больного. Печень при обтур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ционных желтухах чаще не увеличена, безболезненная и эластической конс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стенции. У больного она была увеличена (выступала на 2 см из под края рёберной дуги), болезненна, плотноэл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стическая - что больше характерно для гепатита. В анализе крови отмечают увеличение СОЭ, лейкоцитоз (при остром холецистите в сочетании с холелитиазом). Трансаминазы повышены очень незначительно при механической желтухи, а вот активность щелочной фосфатазы увеличена 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сколько раз, белковые изменения не характерны. При гепатитах и у больного наоборот. Решающим в дифференциальной диагностики этих заболеваний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картина УЗИ, что позволяет отвергнуть диа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ноз мех. желтуха.</w:t>
      </w:r>
    </w:p>
    <w:sectPr w:rsidR="009B5E04" w:rsidSect="00446C59">
      <w:headerReference w:type="default" r:id="rId8"/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EE" w:rsidRDefault="001963EE">
      <w:r>
        <w:separator/>
      </w:r>
    </w:p>
  </w:endnote>
  <w:endnote w:type="continuationSeparator" w:id="0">
    <w:p w:rsidR="001963EE" w:rsidRDefault="0019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EE" w:rsidRDefault="001963EE">
      <w:r>
        <w:separator/>
      </w:r>
    </w:p>
  </w:footnote>
  <w:footnote w:type="continuationSeparator" w:id="0">
    <w:p w:rsidR="001963EE" w:rsidRDefault="00196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7F" w:rsidRDefault="00BB287F">
    <w:pPr>
      <w:pStyle w:val="a3"/>
      <w:jc w:val="center"/>
      <w:rPr>
        <w:b/>
        <w:bCs/>
        <w:i/>
        <w:iCs/>
      </w:rPr>
    </w:pPr>
    <w:r>
      <w:rPr>
        <w:rStyle w:val="a5"/>
        <w:b/>
        <w:bCs/>
        <w:i/>
        <w:iCs/>
      </w:rPr>
      <w:fldChar w:fldCharType="begin"/>
    </w:r>
    <w:r>
      <w:rPr>
        <w:rStyle w:val="a5"/>
        <w:b/>
        <w:bCs/>
        <w:i/>
        <w:iCs/>
      </w:rPr>
      <w:instrText xml:space="preserve"> PAGE </w:instrText>
    </w:r>
    <w:r>
      <w:rPr>
        <w:rStyle w:val="a5"/>
        <w:b/>
        <w:bCs/>
        <w:i/>
        <w:iCs/>
      </w:rPr>
      <w:fldChar w:fldCharType="separate"/>
    </w:r>
    <w:r w:rsidR="00BB35E0">
      <w:rPr>
        <w:rStyle w:val="a5"/>
        <w:b/>
        <w:bCs/>
        <w:i/>
        <w:iCs/>
        <w:noProof/>
      </w:rPr>
      <w:t>1</w:t>
    </w:r>
    <w:r>
      <w:rPr>
        <w:rStyle w:val="a5"/>
        <w:b/>
        <w:bCs/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24D3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D8053EA"/>
    <w:multiLevelType w:val="singleLevel"/>
    <w:tmpl w:val="E1D8B6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7F"/>
    <w:rsid w:val="001963EE"/>
    <w:rsid w:val="00446C59"/>
    <w:rsid w:val="00651B4D"/>
    <w:rsid w:val="006924EE"/>
    <w:rsid w:val="008A5953"/>
    <w:rsid w:val="009B5E04"/>
    <w:rsid w:val="00BB287F"/>
    <w:rsid w:val="00BB35E0"/>
    <w:rsid w:val="00C23C23"/>
    <w:rsid w:val="00C377ED"/>
    <w:rsid w:val="00D86124"/>
    <w:rsid w:val="00E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paragraph" w:styleId="2">
    <w:name w:val="heading 2"/>
    <w:basedOn w:val="a"/>
    <w:next w:val="a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ind w:left="709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paragraph" w:styleId="21">
    <w:name w:val="Body Text Indent 2"/>
    <w:basedOn w:val="a"/>
    <w:pPr>
      <w:widowControl w:val="0"/>
      <w:spacing w:line="240" w:lineRule="atLeast"/>
      <w:ind w:left="709"/>
    </w:pPr>
    <w:rPr>
      <w:sz w:val="24"/>
      <w:szCs w:val="24"/>
    </w:rPr>
  </w:style>
  <w:style w:type="paragraph" w:styleId="30">
    <w:name w:val="Body Text Indent 3"/>
    <w:basedOn w:val="a"/>
    <w:pPr>
      <w:ind w:left="709"/>
      <w:jc w:val="center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paragraph" w:styleId="2">
    <w:name w:val="heading 2"/>
    <w:basedOn w:val="a"/>
    <w:next w:val="a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ind w:left="709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2"/>
    <w:basedOn w:val="a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paragraph" w:styleId="21">
    <w:name w:val="Body Text Indent 2"/>
    <w:basedOn w:val="a"/>
    <w:pPr>
      <w:widowControl w:val="0"/>
      <w:spacing w:line="240" w:lineRule="atLeast"/>
      <w:ind w:left="709"/>
    </w:pPr>
    <w:rPr>
      <w:sz w:val="24"/>
      <w:szCs w:val="24"/>
    </w:rPr>
  </w:style>
  <w:style w:type="paragraph" w:styleId="30">
    <w:name w:val="Body Text Indent 3"/>
    <w:basedOn w:val="a"/>
    <w:pPr>
      <w:ind w:left="709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терапии</vt:lpstr>
    </vt:vector>
  </TitlesOfParts>
  <Company>Мой оффис</Company>
  <LinksUpToDate>false</LinksUpToDate>
  <CharactersWithSpaces>19223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</dc:title>
  <dc:subject>ИБС</dc:subject>
  <dc:creator>Красножон Дмитрий</dc:creator>
  <cp:keywords>Тетерин</cp:keywords>
  <cp:lastModifiedBy>Igor</cp:lastModifiedBy>
  <cp:revision>2</cp:revision>
  <cp:lastPrinted>2000-11-15T19:09:00Z</cp:lastPrinted>
  <dcterms:created xsi:type="dcterms:W3CDTF">2024-05-17T06:21:00Z</dcterms:created>
  <dcterms:modified xsi:type="dcterms:W3CDTF">2024-05-17T06:21:00Z</dcterms:modified>
</cp:coreProperties>
</file>