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3144" w:rsidRPr="00F670D2" w:rsidRDefault="00333144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F670D2">
        <w:rPr>
          <w:sz w:val="28"/>
          <w:szCs w:val="28"/>
        </w:rPr>
        <w:t>Алтайский Государственный Медицинский Университет.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</w:rPr>
      </w:pPr>
      <w:r w:rsidRPr="00F670D2">
        <w:rPr>
          <w:sz w:val="28"/>
          <w:szCs w:val="28"/>
        </w:rPr>
        <w:t>Кафедра оториноларингологии.</w:t>
      </w:r>
    </w:p>
    <w:p w:rsidR="00333144" w:rsidRDefault="00333144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745696" w:rsidRPr="00745696" w:rsidRDefault="00745696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333144" w:rsidRPr="00F670D2" w:rsidRDefault="00333144" w:rsidP="00745696">
      <w:pPr>
        <w:suppressAutoHyphens w:val="0"/>
        <w:spacing w:line="360" w:lineRule="auto"/>
        <w:ind w:firstLine="3261"/>
        <w:rPr>
          <w:sz w:val="28"/>
          <w:szCs w:val="28"/>
        </w:rPr>
      </w:pPr>
      <w:r w:rsidRPr="00F670D2">
        <w:rPr>
          <w:sz w:val="28"/>
          <w:szCs w:val="28"/>
        </w:rPr>
        <w:t>Зав.кафедрой: профессор, д.м.н. Хрусталева Е.В.</w:t>
      </w:r>
    </w:p>
    <w:p w:rsidR="00333144" w:rsidRPr="00F670D2" w:rsidRDefault="00333144" w:rsidP="00745696">
      <w:pPr>
        <w:suppressAutoHyphens w:val="0"/>
        <w:spacing w:line="360" w:lineRule="auto"/>
        <w:ind w:firstLine="3261"/>
        <w:rPr>
          <w:sz w:val="28"/>
          <w:szCs w:val="28"/>
        </w:rPr>
      </w:pPr>
      <w:r w:rsidRPr="00F670D2">
        <w:rPr>
          <w:sz w:val="28"/>
          <w:szCs w:val="28"/>
        </w:rPr>
        <w:t>Преподаватель: ассистент Батяйкин А.П.</w:t>
      </w:r>
    </w:p>
    <w:p w:rsidR="00745696" w:rsidRDefault="00333144" w:rsidP="00745696">
      <w:pPr>
        <w:suppressAutoHyphens w:val="0"/>
        <w:spacing w:line="360" w:lineRule="auto"/>
        <w:ind w:firstLine="3261"/>
        <w:rPr>
          <w:sz w:val="28"/>
          <w:szCs w:val="28"/>
          <w:lang w:val="en-US"/>
        </w:rPr>
      </w:pPr>
      <w:r w:rsidRPr="00F670D2">
        <w:rPr>
          <w:sz w:val="28"/>
          <w:szCs w:val="28"/>
        </w:rPr>
        <w:t xml:space="preserve">Куратор: студентка пед. факультета </w:t>
      </w:r>
    </w:p>
    <w:p w:rsidR="00333144" w:rsidRPr="00F670D2" w:rsidRDefault="00333144" w:rsidP="00745696">
      <w:pPr>
        <w:suppressAutoHyphens w:val="0"/>
        <w:spacing w:line="360" w:lineRule="auto"/>
        <w:ind w:firstLine="3261"/>
        <w:rPr>
          <w:sz w:val="28"/>
          <w:szCs w:val="28"/>
        </w:rPr>
      </w:pPr>
      <w:r w:rsidRPr="00F670D2">
        <w:rPr>
          <w:sz w:val="28"/>
          <w:szCs w:val="28"/>
        </w:rPr>
        <w:t>536 гр. Тужулкина А.В.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</w:rPr>
      </w:pPr>
    </w:p>
    <w:p w:rsidR="00333144" w:rsidRPr="00F670D2" w:rsidRDefault="00333144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</w:rPr>
      </w:pPr>
    </w:p>
    <w:p w:rsidR="00333144" w:rsidRPr="00F670D2" w:rsidRDefault="00333144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</w:rPr>
      </w:pPr>
    </w:p>
    <w:p w:rsidR="00333144" w:rsidRPr="00F670D2" w:rsidRDefault="00333144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</w:rPr>
      </w:pPr>
      <w:r w:rsidRPr="00F670D2">
        <w:rPr>
          <w:sz w:val="28"/>
          <w:szCs w:val="28"/>
        </w:rPr>
        <w:t>ИСТОРИЯ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БОЛЕЗНИ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</w:rPr>
      </w:pPr>
    </w:p>
    <w:p w:rsidR="00333144" w:rsidRPr="00F670D2" w:rsidRDefault="00333144" w:rsidP="00F670D2">
      <w:pPr>
        <w:tabs>
          <w:tab w:val="left" w:pos="360"/>
        </w:tabs>
        <w:suppressAutoHyphens w:val="0"/>
        <w:spacing w:line="360" w:lineRule="auto"/>
        <w:ind w:firstLine="720"/>
        <w:jc w:val="center"/>
        <w:rPr>
          <w:sz w:val="28"/>
          <w:szCs w:val="28"/>
        </w:rPr>
      </w:pPr>
      <w:r w:rsidRPr="00F670D2">
        <w:rPr>
          <w:sz w:val="28"/>
          <w:szCs w:val="28"/>
        </w:rPr>
        <w:t xml:space="preserve">Пациент: </w:t>
      </w:r>
      <w:r w:rsidR="00F670D2">
        <w:rPr>
          <w:sz w:val="28"/>
          <w:szCs w:val="28"/>
        </w:rPr>
        <w:t>хххххххххххххххххххххх</w:t>
      </w:r>
    </w:p>
    <w:p w:rsidR="00333144" w:rsidRPr="00F670D2" w:rsidRDefault="00333144" w:rsidP="00F670D2">
      <w:pPr>
        <w:tabs>
          <w:tab w:val="left" w:pos="720"/>
        </w:tabs>
        <w:suppressAutoHyphens w:val="0"/>
        <w:spacing w:line="360" w:lineRule="auto"/>
        <w:ind w:firstLine="720"/>
        <w:jc w:val="center"/>
        <w:rPr>
          <w:sz w:val="28"/>
          <w:szCs w:val="28"/>
        </w:rPr>
      </w:pPr>
      <w:r w:rsidRPr="00F670D2">
        <w:rPr>
          <w:sz w:val="28"/>
          <w:szCs w:val="28"/>
        </w:rPr>
        <w:t>Диагноз: Обострение хронического правостороннего гнойного среднего отита (мезатимпанит).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Кондуктивная тугоухость 1 ст.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</w:rPr>
      </w:pPr>
    </w:p>
    <w:p w:rsidR="00333144" w:rsidRPr="00F670D2" w:rsidRDefault="00333144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</w:rPr>
      </w:pPr>
    </w:p>
    <w:p w:rsidR="00333144" w:rsidRPr="00F670D2" w:rsidRDefault="00333144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</w:rPr>
      </w:pPr>
    </w:p>
    <w:p w:rsidR="00333144" w:rsidRDefault="00333144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745696" w:rsidRDefault="00745696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745696" w:rsidRDefault="00745696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745696" w:rsidRDefault="00745696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745696" w:rsidRPr="00745696" w:rsidRDefault="00745696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  <w:lang w:val="en-US"/>
        </w:rPr>
      </w:pPr>
    </w:p>
    <w:p w:rsidR="00333144" w:rsidRPr="00F670D2" w:rsidRDefault="00333144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</w:rPr>
      </w:pPr>
    </w:p>
    <w:p w:rsidR="00333144" w:rsidRPr="00F670D2" w:rsidRDefault="00333144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</w:rPr>
      </w:pPr>
    </w:p>
    <w:p w:rsidR="00333144" w:rsidRPr="00F670D2" w:rsidRDefault="00333144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</w:rPr>
      </w:pPr>
    </w:p>
    <w:p w:rsidR="00F670D2" w:rsidRDefault="00F670D2" w:rsidP="00F670D2">
      <w:pPr>
        <w:suppressAutoHyphens w:val="0"/>
        <w:spacing w:line="360" w:lineRule="auto"/>
        <w:ind w:firstLine="720"/>
        <w:jc w:val="center"/>
        <w:rPr>
          <w:sz w:val="28"/>
          <w:szCs w:val="28"/>
        </w:rPr>
      </w:pPr>
      <w:r w:rsidRPr="00F670D2">
        <w:rPr>
          <w:sz w:val="28"/>
          <w:szCs w:val="28"/>
        </w:rPr>
        <w:t>Барнаул 2008г.</w:t>
      </w:r>
    </w:p>
    <w:p w:rsidR="00333144" w:rsidRPr="00F670D2" w:rsidRDefault="00F670D2" w:rsidP="00F406A6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3144" w:rsidRPr="00F670D2">
        <w:rPr>
          <w:b/>
          <w:bCs/>
          <w:sz w:val="28"/>
          <w:szCs w:val="28"/>
        </w:rPr>
        <w:lastRenderedPageBreak/>
        <w:t>Паспортная часть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</w:p>
    <w:p w:rsidR="00333144" w:rsidRPr="00F670D2" w:rsidRDefault="00333144" w:rsidP="00F670D2">
      <w:pPr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0"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 xml:space="preserve">Ф. И. О.: </w:t>
      </w:r>
      <w:r w:rsidR="00F670D2">
        <w:rPr>
          <w:sz w:val="28"/>
          <w:szCs w:val="28"/>
        </w:rPr>
        <w:t>ххххххххххх</w:t>
      </w:r>
      <w:r w:rsidRPr="00F670D2">
        <w:rPr>
          <w:sz w:val="28"/>
          <w:szCs w:val="28"/>
        </w:rPr>
        <w:t>.</w:t>
      </w:r>
    </w:p>
    <w:p w:rsidR="00333144" w:rsidRPr="00F670D2" w:rsidRDefault="00333144" w:rsidP="00F670D2">
      <w:pPr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0"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Год рождения</w:t>
      </w:r>
      <w:r w:rsidR="00F670D2">
        <w:rPr>
          <w:sz w:val="28"/>
          <w:szCs w:val="28"/>
        </w:rPr>
        <w:t>: хххххххххх</w:t>
      </w:r>
      <w:r w:rsidRPr="00F670D2">
        <w:rPr>
          <w:sz w:val="28"/>
          <w:szCs w:val="28"/>
        </w:rPr>
        <w:t>.</w:t>
      </w:r>
    </w:p>
    <w:p w:rsidR="00333144" w:rsidRPr="00F670D2" w:rsidRDefault="00333144" w:rsidP="00F670D2">
      <w:pPr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0"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 xml:space="preserve">Профессия: </w:t>
      </w:r>
      <w:r w:rsidR="00F670D2">
        <w:rPr>
          <w:sz w:val="28"/>
          <w:szCs w:val="28"/>
        </w:rPr>
        <w:t>ххххххххххххх</w:t>
      </w:r>
    </w:p>
    <w:p w:rsidR="00333144" w:rsidRPr="00F670D2" w:rsidRDefault="00333144" w:rsidP="00F670D2">
      <w:pPr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0"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 xml:space="preserve">Место жительства: </w:t>
      </w:r>
      <w:r w:rsidR="00F670D2">
        <w:rPr>
          <w:sz w:val="28"/>
          <w:szCs w:val="28"/>
        </w:rPr>
        <w:t>ххххххххх</w:t>
      </w:r>
    </w:p>
    <w:p w:rsidR="00333144" w:rsidRPr="00F670D2" w:rsidRDefault="00333144" w:rsidP="00F670D2">
      <w:pPr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0"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 xml:space="preserve">Дата поступления: </w:t>
      </w:r>
      <w:r w:rsidR="00F670D2">
        <w:rPr>
          <w:sz w:val="28"/>
          <w:szCs w:val="28"/>
        </w:rPr>
        <w:t>ххххххххххх</w:t>
      </w:r>
      <w:r w:rsidRPr="00F670D2">
        <w:rPr>
          <w:sz w:val="28"/>
          <w:szCs w:val="28"/>
        </w:rPr>
        <w:t>.</w:t>
      </w:r>
    </w:p>
    <w:p w:rsidR="00333144" w:rsidRPr="00F670D2" w:rsidRDefault="00333144" w:rsidP="00F670D2">
      <w:pPr>
        <w:numPr>
          <w:ilvl w:val="0"/>
          <w:numId w:val="2"/>
        </w:numPr>
        <w:tabs>
          <w:tab w:val="left" w:pos="360"/>
        </w:tabs>
        <w:suppressAutoHyphens w:val="0"/>
        <w:spacing w:line="360" w:lineRule="auto"/>
        <w:ind w:left="0"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Диагноз: Обострение хронического правостороннего гнойного среднего отита (мезатимпанит).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Кондуктивная тугоухость 1 ст.</w:t>
      </w:r>
    </w:p>
    <w:p w:rsidR="00333144" w:rsidRPr="00F670D2" w:rsidRDefault="00F670D2" w:rsidP="00F670D2">
      <w:pPr>
        <w:tabs>
          <w:tab w:val="left" w:pos="360"/>
        </w:tabs>
        <w:suppressAutoHyphens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33144" w:rsidRPr="00F670D2">
        <w:rPr>
          <w:b/>
          <w:bCs/>
          <w:sz w:val="28"/>
          <w:szCs w:val="28"/>
        </w:rPr>
        <w:lastRenderedPageBreak/>
        <w:t>Жалобы больного: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На момент поступлении: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ноющая боль в правом ухе иррадиирующая в правую затылочную область,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гнойные выделения из правого уха, шум в правом ухе, плохой слух.</w:t>
      </w:r>
    </w:p>
    <w:p w:rsidR="00333144" w:rsidRPr="00F670D2" w:rsidRDefault="00333144" w:rsidP="00F670D2">
      <w:pPr>
        <w:pStyle w:val="a6"/>
        <w:suppressAutoHyphens w:val="0"/>
        <w:spacing w:line="360" w:lineRule="auto"/>
        <w:ind w:firstLine="720"/>
        <w:rPr>
          <w:sz w:val="28"/>
          <w:szCs w:val="28"/>
        </w:rPr>
      </w:pP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670D2">
        <w:rPr>
          <w:b/>
          <w:bCs/>
          <w:sz w:val="28"/>
          <w:szCs w:val="28"/>
          <w:lang w:val="en-US"/>
        </w:rPr>
        <w:t>Anamnesis</w:t>
      </w:r>
      <w:r w:rsidRPr="00F670D2">
        <w:rPr>
          <w:b/>
          <w:bCs/>
          <w:sz w:val="28"/>
          <w:szCs w:val="28"/>
        </w:rPr>
        <w:t xml:space="preserve"> </w:t>
      </w:r>
      <w:r w:rsidRPr="00F670D2">
        <w:rPr>
          <w:b/>
          <w:bCs/>
          <w:sz w:val="28"/>
          <w:szCs w:val="28"/>
          <w:lang w:val="en-US"/>
        </w:rPr>
        <w:t>morbi</w:t>
      </w:r>
      <w:r w:rsidRPr="00F670D2">
        <w:rPr>
          <w:b/>
          <w:bCs/>
          <w:sz w:val="28"/>
          <w:szCs w:val="28"/>
        </w:rPr>
        <w:t>: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Считает себя больным около года, когда, после переохлаждения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в правом ухе появилась сильная боль, которая иррадиировала в затылочную область и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усиливалась при чихании и кашле. Затем появилось гноетечение из правого уха. По поводу чего был госпитализирован в стационар с диагнозом: « Острый правосторонний гнойный средний отит.», где было проведено лечение после которого наступило улучшение. Однако через некоторое вркмя после лечения у больного неоднократно возникали возникать повторные эпизоды гноетечения и шума в правом ухе, по поводу которых за медицинской помощью он не обращался. Во время последнего эпизода шум в правом ухе усилился , появилась ноющая боль, в связи с чем обратился за медицинской помощью и был госпитализирован в ЛОР- отделение ККБ.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670D2">
        <w:rPr>
          <w:b/>
          <w:bCs/>
          <w:sz w:val="28"/>
          <w:szCs w:val="28"/>
          <w:lang w:val="en-US"/>
        </w:rPr>
        <w:t>Anamnesis</w:t>
      </w:r>
      <w:r w:rsidRPr="00F670D2">
        <w:rPr>
          <w:b/>
          <w:bCs/>
          <w:sz w:val="28"/>
          <w:szCs w:val="28"/>
        </w:rPr>
        <w:t xml:space="preserve"> </w:t>
      </w:r>
      <w:r w:rsidRPr="00F670D2">
        <w:rPr>
          <w:b/>
          <w:bCs/>
          <w:sz w:val="28"/>
          <w:szCs w:val="28"/>
          <w:lang w:val="en-US"/>
        </w:rPr>
        <w:t>vitae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Родился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2 марта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1993 года в с. Чесноковка Алтайского края. Первым ребенком в семье. Социально-бытовые условия жизни удовлетворительные, питание регулярное, сбалансированное. Наследственность не отягощена, наследственных заболеваний нет.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Перенесённые заболевания: в возрасте 10 лет перенес ветряную оспу. Аллергологический анамнез: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не отягощен. Гемотрансфузий не было. Наличие туберкулеза, психических, венерических заболеваний у себя и родственников отрицает.</w:t>
      </w:r>
    </w:p>
    <w:p w:rsidR="00800EBF" w:rsidRDefault="00333144" w:rsidP="00F670D2">
      <w:pPr>
        <w:pStyle w:val="21"/>
        <w:suppressAutoHyphens w:val="0"/>
        <w:spacing w:line="360" w:lineRule="auto"/>
        <w:ind w:firstLine="720"/>
      </w:pPr>
      <w:r w:rsidRPr="00F670D2">
        <w:t>У себя и родственников также отрицает наличие заболеваний уха, горла, носа, которые можно было бы связать с данным заболевание курируемого больного.</w:t>
      </w:r>
    </w:p>
    <w:p w:rsidR="00333144" w:rsidRPr="00800EBF" w:rsidRDefault="00800EBF" w:rsidP="00800EBF">
      <w:pPr>
        <w:pStyle w:val="21"/>
        <w:suppressAutoHyphens w:val="0"/>
        <w:spacing w:line="360" w:lineRule="auto"/>
        <w:ind w:firstLine="720"/>
        <w:rPr>
          <w:b/>
          <w:bCs/>
        </w:rPr>
      </w:pPr>
      <w:r>
        <w:rPr>
          <w:sz w:val="24"/>
          <w:szCs w:val="24"/>
        </w:rPr>
        <w:br w:type="page"/>
      </w:r>
      <w:r w:rsidR="00333144" w:rsidRPr="00800EBF">
        <w:rPr>
          <w:b/>
          <w:bCs/>
          <w:lang w:val="en-US"/>
        </w:rPr>
        <w:lastRenderedPageBreak/>
        <w:t>LOR</w:t>
      </w:r>
      <w:r w:rsidR="00333144" w:rsidRPr="00800EBF">
        <w:rPr>
          <w:b/>
          <w:bCs/>
        </w:rPr>
        <w:t>-</w:t>
      </w:r>
      <w:r w:rsidR="00333144" w:rsidRPr="00800EBF">
        <w:rPr>
          <w:b/>
          <w:bCs/>
          <w:lang w:val="en-US"/>
        </w:rPr>
        <w:t>status</w:t>
      </w:r>
    </w:p>
    <w:p w:rsidR="00333144" w:rsidRPr="00F670D2" w:rsidRDefault="00333144" w:rsidP="00F670D2">
      <w:pPr>
        <w:pStyle w:val="a9"/>
        <w:suppressAutoHyphens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F670D2">
        <w:rPr>
          <w:b w:val="0"/>
          <w:bCs w:val="0"/>
          <w:sz w:val="28"/>
          <w:szCs w:val="28"/>
        </w:rPr>
        <w:t xml:space="preserve">Нос и придаточные пазухи носа: внешние изменения формы наружного носа отсутствуют, области проекции на лицо стенок лобных и верхнечелюстных пазух не изменены. Пальпация передних и нижних стенок лобных пазух, мест выхода </w:t>
      </w:r>
      <w:r w:rsidRPr="00F670D2">
        <w:rPr>
          <w:b w:val="0"/>
          <w:bCs w:val="0"/>
          <w:sz w:val="28"/>
          <w:szCs w:val="28"/>
          <w:lang w:val="en-US"/>
        </w:rPr>
        <w:t>I</w:t>
      </w:r>
      <w:r w:rsidRPr="00F670D2">
        <w:rPr>
          <w:b w:val="0"/>
          <w:bCs w:val="0"/>
          <w:sz w:val="28"/>
          <w:szCs w:val="28"/>
        </w:rPr>
        <w:t xml:space="preserve"> и </w:t>
      </w:r>
      <w:r w:rsidRPr="00F670D2">
        <w:rPr>
          <w:b w:val="0"/>
          <w:bCs w:val="0"/>
          <w:sz w:val="28"/>
          <w:szCs w:val="28"/>
          <w:lang w:val="en-US"/>
        </w:rPr>
        <w:t>II</w:t>
      </w:r>
      <w:r w:rsidRPr="00F670D2">
        <w:rPr>
          <w:b w:val="0"/>
          <w:bCs w:val="0"/>
          <w:sz w:val="28"/>
          <w:szCs w:val="28"/>
        </w:rPr>
        <w:t xml:space="preserve"> ветвей тройничного нерва, передних стенок верхнечелюстных пазух безболезненна, припухлость отсутствует.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Н</w:t>
      </w:r>
      <w:r w:rsidRPr="00F670D2">
        <w:rPr>
          <w:sz w:val="28"/>
          <w:szCs w:val="28"/>
          <w:lang w:val="en-US"/>
        </w:rPr>
        <w:t>oc</w:t>
      </w:r>
      <w:r w:rsidRPr="00F670D2">
        <w:rPr>
          <w:sz w:val="28"/>
          <w:szCs w:val="28"/>
        </w:rPr>
        <w:t xml:space="preserve">овое дыхание при проверке пробой с ватой справа и слева не затруднено, обоняние не снижено. При передней </w:t>
      </w:r>
      <w:r w:rsidRPr="00F670D2">
        <w:rPr>
          <w:sz w:val="28"/>
          <w:szCs w:val="28"/>
          <w:lang w:val="en-US"/>
        </w:rPr>
        <w:t>p</w:t>
      </w:r>
      <w:r w:rsidRPr="00F670D2">
        <w:rPr>
          <w:sz w:val="28"/>
          <w:szCs w:val="28"/>
        </w:rPr>
        <w:t>иноскопии преддверие носа свободное, носовая перегородка без изменений, слизистая оболочка носа розовая, влажная; раковины без изменений; отделяемого из носовых ходов не наблюдается.</w:t>
      </w:r>
    </w:p>
    <w:p w:rsidR="00333144" w:rsidRPr="00F670D2" w:rsidRDefault="00333144" w:rsidP="00F670D2">
      <w:pPr>
        <w:pStyle w:val="a9"/>
        <w:suppressAutoHyphens w:val="0"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F670D2">
        <w:rPr>
          <w:b w:val="0"/>
          <w:bCs w:val="0"/>
          <w:sz w:val="28"/>
          <w:szCs w:val="28"/>
        </w:rPr>
        <w:t>При пальпации подчелюстные, подмышечные лимфатические узлы пальпируются как одиночные, диаметром 4-5 миллиметров округлой формы, плотноэластической консистенции, подвижные, безболезненные. Кожа над ними не изменена.</w:t>
      </w:r>
      <w:r w:rsidR="00800EBF">
        <w:rPr>
          <w:b w:val="0"/>
          <w:bCs w:val="0"/>
          <w:sz w:val="28"/>
          <w:szCs w:val="28"/>
        </w:rPr>
        <w:t xml:space="preserve"> </w:t>
      </w:r>
      <w:r w:rsidRPr="00F670D2">
        <w:rPr>
          <w:b w:val="0"/>
          <w:bCs w:val="0"/>
          <w:sz w:val="28"/>
          <w:szCs w:val="28"/>
        </w:rPr>
        <w:t>Подбородочные, околочелюстные, подключичные, околоключичные лимфатических узлы не пальпируются.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Полость рта. Рот открывается свободно, слизистые оболочки полости рта, зева чистые, влажные. Патологические изменения на слизистых отсутствуют. Язык влажный,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не обложенный, вкусовые сосочки его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выражены хорошо. Десны крепкие, без наложений, не кровоточат, плотно прилегают к шейкам зубов. Зубы устойчивы к расшатыванию, кариозно измененных зубов нет.</w:t>
      </w:r>
    </w:p>
    <w:p w:rsidR="00F406A6" w:rsidRDefault="00F406A6" w:rsidP="00F670D2">
      <w:pPr>
        <w:suppressAutoHyphens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333144" w:rsidRPr="00800EBF" w:rsidRDefault="00333144" w:rsidP="00F670D2">
      <w:pPr>
        <w:suppressAutoHyphens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00EBF">
        <w:rPr>
          <w:b/>
          <w:bCs/>
          <w:sz w:val="28"/>
          <w:szCs w:val="28"/>
        </w:rPr>
        <w:t>Зубная формула:</w:t>
      </w:r>
    </w:p>
    <w:p w:rsidR="00F670D2" w:rsidRPr="00F670D2" w:rsidRDefault="00F670D2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3324" w:type="dxa"/>
        <w:tblLayout w:type="fixed"/>
        <w:tblLook w:val="0000" w:firstRow="0" w:lastRow="0" w:firstColumn="0" w:lastColumn="0" w:noHBand="0" w:noVBand="0"/>
      </w:tblPr>
      <w:tblGrid>
        <w:gridCol w:w="1245"/>
        <w:gridCol w:w="1215"/>
      </w:tblGrid>
      <w:tr w:rsidR="00333144" w:rsidRPr="00F670D2">
        <w:tc>
          <w:tcPr>
            <w:tcW w:w="1245" w:type="dxa"/>
            <w:tcBorders>
              <w:bottom w:val="single" w:sz="4" w:space="0" w:color="000000"/>
            </w:tcBorders>
          </w:tcPr>
          <w:p w:rsidR="00333144" w:rsidRPr="00F670D2" w:rsidRDefault="00333144" w:rsidP="00F670D2">
            <w:pPr>
              <w:suppressAutoHyphens w:val="0"/>
              <w:snapToGrid w:val="0"/>
              <w:spacing w:line="360" w:lineRule="auto"/>
              <w:jc w:val="both"/>
            </w:pPr>
            <w:r w:rsidRPr="00F670D2">
              <w:t>7654321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333144" w:rsidRPr="00F670D2" w:rsidRDefault="00333144" w:rsidP="00F670D2">
            <w:pPr>
              <w:suppressAutoHyphens w:val="0"/>
              <w:snapToGrid w:val="0"/>
              <w:spacing w:line="360" w:lineRule="auto"/>
              <w:jc w:val="both"/>
            </w:pPr>
            <w:r w:rsidRPr="00F670D2">
              <w:t>1234567</w:t>
            </w:r>
          </w:p>
        </w:tc>
      </w:tr>
      <w:tr w:rsidR="00333144" w:rsidRPr="00F670D2">
        <w:tc>
          <w:tcPr>
            <w:tcW w:w="1245" w:type="dxa"/>
          </w:tcPr>
          <w:p w:rsidR="00333144" w:rsidRPr="00F670D2" w:rsidRDefault="00333144" w:rsidP="00F670D2">
            <w:pPr>
              <w:suppressAutoHyphens w:val="0"/>
              <w:snapToGrid w:val="0"/>
              <w:spacing w:line="360" w:lineRule="auto"/>
              <w:jc w:val="both"/>
            </w:pPr>
            <w:r w:rsidRPr="00F670D2">
              <w:t>7654321</w:t>
            </w:r>
          </w:p>
        </w:tc>
        <w:tc>
          <w:tcPr>
            <w:tcW w:w="1215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suppressAutoHyphens w:val="0"/>
              <w:snapToGrid w:val="0"/>
              <w:spacing w:line="360" w:lineRule="auto"/>
              <w:jc w:val="both"/>
            </w:pPr>
            <w:r w:rsidRPr="00F670D2">
              <w:t>1234567</w:t>
            </w:r>
          </w:p>
        </w:tc>
      </w:tr>
    </w:tbl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 xml:space="preserve">Глотка. Ротоглотка. Небные дужки контурируются, розового цвета, небные миндалины имеют размер </w:t>
      </w:r>
      <w:r w:rsidRPr="00F670D2">
        <w:rPr>
          <w:sz w:val="28"/>
          <w:szCs w:val="28"/>
          <w:lang w:val="en-US"/>
        </w:rPr>
        <w:t>I</w:t>
      </w:r>
      <w:r w:rsidRPr="00F670D2">
        <w:rPr>
          <w:sz w:val="28"/>
          <w:szCs w:val="28"/>
        </w:rPr>
        <w:t xml:space="preserve"> степени, лакуны не расширены, </w:t>
      </w:r>
      <w:r w:rsidRPr="00F670D2">
        <w:rPr>
          <w:sz w:val="28"/>
          <w:szCs w:val="28"/>
        </w:rPr>
        <w:lastRenderedPageBreak/>
        <w:t>патологического содержимого в лакунах нет. Поверхность миндалин гладкая. Задняя стенка глотки влажная, розового цвета, лимфоидные гранулы гипертрофированны. Глоточный рефлекс сохранен.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Носоглотка. При задней риноскопии свод носоглотки свободен, слизистая оболочка носоглотки розовая, влажная,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хоаны свободные. Устья слуховых труб хорошо дифференцированы, свободны.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Гортаноглотка. Язычная миндалина не увеличена, валлекулы свободные, задняя и боковые стенки глотки розовые,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влажные, грушевидные синусы при фонации хорошо раскрываются, свободные, их слизистая оболочка розовая.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Гортань. Подчелюстные, глубокие шейные, преларингеальные, претрахеальные лимфатические узлы не увеличены. Гортань правильной формы, пассивно подвижна, симптом хруста хрящей умеренно выражен.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При непрямой ларингоскопии слизистая оболочка надгортанника, области черпаловидных хрящей, межчерпаловидного пространства и вестибулярных складок розового цвета, влажная с гладкой поверхностью, голосовые складки перламутрово-серые, надгортанник</w:t>
      </w:r>
      <w:r w:rsidRPr="00F670D2">
        <w:rPr>
          <w:smallCaps/>
          <w:sz w:val="28"/>
          <w:szCs w:val="28"/>
        </w:rPr>
        <w:t xml:space="preserve"> </w:t>
      </w:r>
      <w:r w:rsidRPr="00F670D2">
        <w:rPr>
          <w:sz w:val="28"/>
          <w:szCs w:val="28"/>
        </w:rPr>
        <w:t>развернут в виде лепестка, голосовые складки при фонации симметрично подвижные, полностью смыкаются, при вдохе голосовая щель широкая, подскладочное пространство свободное. Голос звучный, дыхание свободное.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Уши. Правое ухо. Ушная раковина правильной формы, пальпация сосцевидного отростка безболезненна, ушной раковины и козелка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умеренно болезненна. Наружный слуховой проход узкий, бледно-розового цвета, барабанная перепонка гиперемированна, отечна, имеется перфорация в натянутой части, плохо виден световой конус и рукоятка молоточка.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 xml:space="preserve">Левое ухо. Ушная раковина правильной формы, при пальпации безболезненна. Пальпация сосцевидного отростка несколько болезненна. Наружный слуховой проход узкий, розового цвета, барабанная перепонка перламутро-серого цвета, хорошо виден световой конус и рукоятка молоточка, пупок, малый отросток молоточка, передние и задние </w:t>
      </w:r>
      <w:r w:rsidRPr="00F670D2">
        <w:rPr>
          <w:sz w:val="28"/>
          <w:szCs w:val="28"/>
        </w:rPr>
        <w:lastRenderedPageBreak/>
        <w:t>молоточковые складки.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</w:p>
    <w:p w:rsidR="00333144" w:rsidRPr="00F670D2" w:rsidRDefault="00333144" w:rsidP="00F670D2">
      <w:pPr>
        <w:pStyle w:val="23"/>
        <w:suppressAutoHyphens w:val="0"/>
        <w:spacing w:line="360" w:lineRule="auto"/>
        <w:ind w:left="0" w:firstLine="720"/>
        <w:jc w:val="both"/>
        <w:rPr>
          <w:sz w:val="28"/>
          <w:szCs w:val="28"/>
          <w:lang w:val="uk-UA"/>
        </w:rPr>
      </w:pPr>
      <w:r w:rsidRPr="00F670D2">
        <w:rPr>
          <w:sz w:val="28"/>
          <w:szCs w:val="28"/>
          <w:lang w:val="uk-UA"/>
        </w:rPr>
        <w:t>СЛУХОВОЙ ПАСПОРТ</w:t>
      </w:r>
    </w:p>
    <w:p w:rsidR="00333144" w:rsidRPr="00F670D2" w:rsidRDefault="00333144" w:rsidP="00F670D2">
      <w:pPr>
        <w:pStyle w:val="23"/>
        <w:suppressAutoHyphens w:val="0"/>
        <w:spacing w:line="360" w:lineRule="auto"/>
        <w:ind w:left="0"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8"/>
        <w:gridCol w:w="2481"/>
        <w:gridCol w:w="2070"/>
      </w:tblGrid>
      <w:tr w:rsidR="00333144" w:rsidRPr="00F670D2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Правое ухо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Тесты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Левое ухо</w:t>
            </w:r>
          </w:p>
        </w:tc>
      </w:tr>
      <w:tr w:rsidR="00333144" w:rsidRPr="00F670D2">
        <w:trPr>
          <w:jc w:val="center"/>
        </w:trPr>
        <w:tc>
          <w:tcPr>
            <w:tcW w:w="2268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+</w:t>
            </w:r>
          </w:p>
        </w:tc>
        <w:tc>
          <w:tcPr>
            <w:tcW w:w="2481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СШ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-</w:t>
            </w:r>
          </w:p>
        </w:tc>
      </w:tr>
      <w:tr w:rsidR="00333144" w:rsidRPr="00F670D2">
        <w:trPr>
          <w:jc w:val="center"/>
        </w:trPr>
        <w:tc>
          <w:tcPr>
            <w:tcW w:w="2268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5</w:t>
            </w:r>
          </w:p>
        </w:tc>
        <w:tc>
          <w:tcPr>
            <w:tcW w:w="2481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ШР, м.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6</w:t>
            </w:r>
          </w:p>
        </w:tc>
      </w:tr>
      <w:tr w:rsidR="00333144" w:rsidRPr="00F670D2">
        <w:trPr>
          <w:jc w:val="center"/>
        </w:trPr>
        <w:tc>
          <w:tcPr>
            <w:tcW w:w="2268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Более 5</w:t>
            </w:r>
          </w:p>
        </w:tc>
        <w:tc>
          <w:tcPr>
            <w:tcW w:w="2481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РР, м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Более 6</w:t>
            </w:r>
          </w:p>
        </w:tc>
      </w:tr>
      <w:tr w:rsidR="00333144" w:rsidRPr="00F670D2">
        <w:trPr>
          <w:jc w:val="center"/>
        </w:trPr>
        <w:tc>
          <w:tcPr>
            <w:tcW w:w="2268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20</w:t>
            </w:r>
          </w:p>
        </w:tc>
        <w:tc>
          <w:tcPr>
            <w:tcW w:w="2481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В, С128, 60''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55</w:t>
            </w:r>
          </w:p>
        </w:tc>
      </w:tr>
      <w:tr w:rsidR="00333144" w:rsidRPr="00F670D2">
        <w:trPr>
          <w:jc w:val="center"/>
        </w:trPr>
        <w:tc>
          <w:tcPr>
            <w:tcW w:w="2268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20</w:t>
            </w:r>
          </w:p>
        </w:tc>
        <w:tc>
          <w:tcPr>
            <w:tcW w:w="2481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К, С128, 30''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25</w:t>
            </w:r>
          </w:p>
        </w:tc>
      </w:tr>
      <w:tr w:rsidR="00333144" w:rsidRPr="00F670D2">
        <w:trPr>
          <w:jc w:val="center"/>
        </w:trPr>
        <w:tc>
          <w:tcPr>
            <w:tcW w:w="2268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35</w:t>
            </w:r>
          </w:p>
        </w:tc>
        <w:tc>
          <w:tcPr>
            <w:tcW w:w="2481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С2048, 40''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35</w:t>
            </w:r>
          </w:p>
        </w:tc>
      </w:tr>
      <w:tr w:rsidR="00333144" w:rsidRPr="00F670D2">
        <w:trPr>
          <w:jc w:val="center"/>
        </w:trPr>
        <w:tc>
          <w:tcPr>
            <w:tcW w:w="2268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←</w:t>
            </w:r>
          </w:p>
        </w:tc>
        <w:tc>
          <w:tcPr>
            <w:tcW w:w="2481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Опыт Вебера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</w:p>
        </w:tc>
      </w:tr>
      <w:tr w:rsidR="00333144" w:rsidRPr="00F670D2">
        <w:trPr>
          <w:jc w:val="center"/>
        </w:trPr>
        <w:tc>
          <w:tcPr>
            <w:tcW w:w="2268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-</w:t>
            </w:r>
          </w:p>
        </w:tc>
        <w:tc>
          <w:tcPr>
            <w:tcW w:w="2481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Опыт Ринне</w:t>
            </w:r>
          </w:p>
        </w:tc>
        <w:tc>
          <w:tcPr>
            <w:tcW w:w="2070" w:type="dxa"/>
            <w:tcBorders>
              <w:left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  <w:rPr>
                <w:lang w:val="en-US"/>
              </w:rPr>
            </w:pPr>
            <w:r w:rsidRPr="00F670D2">
              <w:rPr>
                <w:lang w:val="en-US"/>
              </w:rPr>
              <w:t>+</w:t>
            </w:r>
          </w:p>
        </w:tc>
      </w:tr>
      <w:tr w:rsidR="00333144" w:rsidRPr="00F670D2">
        <w:trPr>
          <w:jc w:val="center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</w:p>
        </w:tc>
        <w:tc>
          <w:tcPr>
            <w:tcW w:w="2481" w:type="dxa"/>
            <w:tcBorders>
              <w:left w:val="single" w:sz="4" w:space="0" w:color="000000"/>
              <w:bottom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Опыт Швабаха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</w:p>
        </w:tc>
      </w:tr>
    </w:tbl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ВЕСТИБУЛЯРНЫЙ ПАСПОРТ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5"/>
        <w:gridCol w:w="3402"/>
        <w:gridCol w:w="2283"/>
      </w:tblGrid>
      <w:tr w:rsidR="00333144" w:rsidRPr="00F670D2">
        <w:trPr>
          <w:jc w:val="center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Правое ухо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Тесты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Левое ухо</w:t>
            </w:r>
          </w:p>
        </w:tc>
      </w:tr>
      <w:tr w:rsidR="00333144" w:rsidRPr="00F670D2">
        <w:trPr>
          <w:jc w:val="center"/>
        </w:trPr>
        <w:tc>
          <w:tcPr>
            <w:tcW w:w="2125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—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Субъективные ощущения</w:t>
            </w:r>
          </w:p>
        </w:tc>
        <w:tc>
          <w:tcPr>
            <w:tcW w:w="2283" w:type="dxa"/>
            <w:tcBorders>
              <w:left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—</w:t>
            </w:r>
          </w:p>
        </w:tc>
      </w:tr>
      <w:tr w:rsidR="00333144" w:rsidRPr="00F670D2">
        <w:trPr>
          <w:jc w:val="center"/>
        </w:trPr>
        <w:tc>
          <w:tcPr>
            <w:tcW w:w="2125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—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Спонтанный нистагм</w:t>
            </w:r>
          </w:p>
        </w:tc>
        <w:tc>
          <w:tcPr>
            <w:tcW w:w="2283" w:type="dxa"/>
            <w:tcBorders>
              <w:left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—</w:t>
            </w:r>
          </w:p>
        </w:tc>
      </w:tr>
      <w:tr w:rsidR="00333144" w:rsidRPr="00F670D2">
        <w:trPr>
          <w:jc w:val="center"/>
        </w:trPr>
        <w:tc>
          <w:tcPr>
            <w:tcW w:w="2125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Выполняет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Пальцеуказательная проба</w:t>
            </w:r>
          </w:p>
        </w:tc>
        <w:tc>
          <w:tcPr>
            <w:tcW w:w="2283" w:type="dxa"/>
            <w:tcBorders>
              <w:left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Выполняет</w:t>
            </w:r>
          </w:p>
        </w:tc>
      </w:tr>
      <w:tr w:rsidR="00333144" w:rsidRPr="00F670D2">
        <w:trPr>
          <w:jc w:val="center"/>
        </w:trPr>
        <w:tc>
          <w:tcPr>
            <w:tcW w:w="2125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Выполняет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Пальценосовая проба</w:t>
            </w:r>
          </w:p>
        </w:tc>
        <w:tc>
          <w:tcPr>
            <w:tcW w:w="2283" w:type="dxa"/>
            <w:tcBorders>
              <w:left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Выполняет</w:t>
            </w:r>
          </w:p>
        </w:tc>
      </w:tr>
      <w:tr w:rsidR="00333144" w:rsidRPr="00F670D2">
        <w:trPr>
          <w:jc w:val="center"/>
        </w:trPr>
        <w:tc>
          <w:tcPr>
            <w:tcW w:w="2125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Устойчив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Симптом Ромберга</w:t>
            </w:r>
          </w:p>
        </w:tc>
        <w:tc>
          <w:tcPr>
            <w:tcW w:w="2283" w:type="dxa"/>
            <w:tcBorders>
              <w:left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Устойчив</w:t>
            </w:r>
          </w:p>
        </w:tc>
      </w:tr>
      <w:tr w:rsidR="00333144" w:rsidRPr="00F670D2">
        <w:trPr>
          <w:jc w:val="center"/>
        </w:trPr>
        <w:tc>
          <w:tcPr>
            <w:tcW w:w="2125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—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Вращательная проба</w:t>
            </w:r>
          </w:p>
        </w:tc>
        <w:tc>
          <w:tcPr>
            <w:tcW w:w="2283" w:type="dxa"/>
            <w:tcBorders>
              <w:left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—</w:t>
            </w:r>
          </w:p>
        </w:tc>
      </w:tr>
      <w:tr w:rsidR="00333144" w:rsidRPr="00F670D2">
        <w:trPr>
          <w:jc w:val="center"/>
        </w:trPr>
        <w:tc>
          <w:tcPr>
            <w:tcW w:w="2125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Не нарушена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Походка с закрытыми глазами</w:t>
            </w:r>
          </w:p>
        </w:tc>
        <w:tc>
          <w:tcPr>
            <w:tcW w:w="2283" w:type="dxa"/>
            <w:tcBorders>
              <w:left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Не нарушена</w:t>
            </w:r>
          </w:p>
        </w:tc>
      </w:tr>
      <w:tr w:rsidR="00333144" w:rsidRPr="00F670D2">
        <w:trPr>
          <w:jc w:val="center"/>
        </w:trPr>
        <w:tc>
          <w:tcPr>
            <w:tcW w:w="2125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Выполняет</w:t>
            </w:r>
          </w:p>
        </w:tc>
        <w:tc>
          <w:tcPr>
            <w:tcW w:w="3402" w:type="dxa"/>
            <w:tcBorders>
              <w:lef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Фланговая</w:t>
            </w:r>
            <w:r w:rsidR="00800EBF">
              <w:t xml:space="preserve"> </w:t>
            </w:r>
            <w:r w:rsidRPr="00F670D2">
              <w:t>походка</w:t>
            </w:r>
          </w:p>
        </w:tc>
        <w:tc>
          <w:tcPr>
            <w:tcW w:w="2283" w:type="dxa"/>
            <w:tcBorders>
              <w:left w:val="single" w:sz="4" w:space="0" w:color="000000"/>
              <w:right w:val="single" w:sz="4" w:space="0" w:color="000000"/>
            </w:tcBorders>
          </w:tcPr>
          <w:p w:rsidR="00333144" w:rsidRPr="00F670D2" w:rsidRDefault="00333144" w:rsidP="00F670D2">
            <w:pPr>
              <w:tabs>
                <w:tab w:val="left" w:pos="-1560"/>
              </w:tabs>
              <w:suppressAutoHyphens w:val="0"/>
              <w:snapToGrid w:val="0"/>
              <w:spacing w:line="360" w:lineRule="auto"/>
              <w:jc w:val="both"/>
            </w:pPr>
            <w:r w:rsidRPr="00F670D2">
              <w:t>Выполняет</w:t>
            </w:r>
          </w:p>
        </w:tc>
      </w:tr>
    </w:tbl>
    <w:p w:rsidR="00BC69B0" w:rsidRDefault="00BC69B0" w:rsidP="00F670D2">
      <w:pPr>
        <w:suppressAutoHyphens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 w:rsidRPr="00F670D2">
        <w:rPr>
          <w:b/>
          <w:bCs/>
          <w:sz w:val="28"/>
          <w:szCs w:val="28"/>
        </w:rPr>
        <w:t>Предварительный диагноз</w:t>
      </w:r>
    </w:p>
    <w:p w:rsidR="00333144" w:rsidRPr="00F670D2" w:rsidRDefault="00333144" w:rsidP="00F670D2">
      <w:pPr>
        <w:tabs>
          <w:tab w:val="left" w:pos="360"/>
        </w:tabs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Опираясь на жалобы больного на боль и шум в правом ухе, а также гноетечение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их этого уха можно предположить, что у больного поражен орган слуха, кроме того, учитывая данные отоскопии (отечная и гиперемированая барабанная перепонка, стертые опознавательные признаки, наличие перфорации) можно утверждать, что это правосторонний средний отит. Поскольку проявления заболевания у больного существуют уже около года, можно говорить о том, что процесс носит хронический характер. А наличие клиники говорит в пользу того, что процесс находится в стадии обострения. Наличие перфорации при отоскопии в натянутой части барабанной перепонки является признаком мезатимпанита. Жалобы больного на снижение слуха говорят о тугоухости больного, а данные слухового паспорта о том что она является кондуктивной.</w:t>
      </w:r>
    </w:p>
    <w:p w:rsidR="00333144" w:rsidRPr="00F670D2" w:rsidRDefault="00333144" w:rsidP="00F670D2">
      <w:pPr>
        <w:tabs>
          <w:tab w:val="left" w:pos="360"/>
        </w:tabs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И таким образом можно выставить диагноз: обострение хронического правостороннего гнойного среднего отита (мезатимпанит).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Кондуктивная тугоухость.</w:t>
      </w:r>
    </w:p>
    <w:p w:rsidR="00BC69B0" w:rsidRDefault="00BC69B0" w:rsidP="00F670D2">
      <w:pPr>
        <w:suppressAutoHyphens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670D2">
        <w:rPr>
          <w:b/>
          <w:bCs/>
          <w:sz w:val="28"/>
          <w:szCs w:val="28"/>
        </w:rPr>
        <w:t>План обследования:</w:t>
      </w:r>
    </w:p>
    <w:p w:rsidR="00333144" w:rsidRPr="00F670D2" w:rsidRDefault="00333144" w:rsidP="00F670D2">
      <w:pPr>
        <w:numPr>
          <w:ilvl w:val="0"/>
          <w:numId w:val="4"/>
        </w:numPr>
        <w:tabs>
          <w:tab w:val="left" w:pos="720"/>
        </w:tabs>
        <w:suppressAutoHyphens w:val="0"/>
        <w:spacing w:line="360" w:lineRule="auto"/>
        <w:ind w:left="0"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ОАК.</w:t>
      </w:r>
    </w:p>
    <w:p w:rsidR="00333144" w:rsidRPr="00F670D2" w:rsidRDefault="00333144" w:rsidP="00F670D2">
      <w:pPr>
        <w:numPr>
          <w:ilvl w:val="0"/>
          <w:numId w:val="4"/>
        </w:numPr>
        <w:tabs>
          <w:tab w:val="left" w:pos="720"/>
        </w:tabs>
        <w:suppressAutoHyphens w:val="0"/>
        <w:spacing w:line="360" w:lineRule="auto"/>
        <w:ind w:left="0"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ОАМ.</w:t>
      </w:r>
    </w:p>
    <w:p w:rsidR="00333144" w:rsidRPr="00F670D2" w:rsidRDefault="00333144" w:rsidP="00F670D2">
      <w:pPr>
        <w:numPr>
          <w:ilvl w:val="0"/>
          <w:numId w:val="4"/>
        </w:numPr>
        <w:tabs>
          <w:tab w:val="left" w:pos="720"/>
        </w:tabs>
        <w:suppressAutoHyphens w:val="0"/>
        <w:spacing w:line="360" w:lineRule="auto"/>
        <w:ind w:left="0"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Аудиометрия.</w:t>
      </w:r>
    </w:p>
    <w:p w:rsidR="00333144" w:rsidRPr="00F670D2" w:rsidRDefault="00333144" w:rsidP="00F670D2">
      <w:pPr>
        <w:numPr>
          <w:ilvl w:val="0"/>
          <w:numId w:val="4"/>
        </w:numPr>
        <w:tabs>
          <w:tab w:val="left" w:pos="720"/>
        </w:tabs>
        <w:suppressAutoHyphens w:val="0"/>
        <w:spacing w:line="360" w:lineRule="auto"/>
        <w:ind w:left="0"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Рентгенография среднего уха.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670D2">
        <w:rPr>
          <w:b/>
          <w:bCs/>
          <w:sz w:val="28"/>
          <w:szCs w:val="28"/>
        </w:rPr>
        <w:t>Клинический диагноз: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Данные рентгенографии подтверждают предварительный диагноз — обострение хронического правостороннего гнойного среднего отита (мезатимпанит). Данные аудиометрии подтверждают диагноз кондуктивная тугоухость, и позволяют выставить первую степень(снижение на 25 дБ).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И таки образом, окончательный диагноз: Обострение хронического правостороннего гнойного среднего отита (мезатимпанит).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Кондуктивная тугоухость 1 ст.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333144" w:rsidRPr="00F670D2" w:rsidRDefault="00333144" w:rsidP="00F670D2">
      <w:pPr>
        <w:pStyle w:val="6"/>
        <w:keepNext w:val="0"/>
        <w:tabs>
          <w:tab w:val="left" w:pos="0"/>
          <w:tab w:val="left" w:pos="426"/>
        </w:tabs>
        <w:suppressAutoHyphens w:val="0"/>
        <w:spacing w:line="360" w:lineRule="auto"/>
        <w:ind w:firstLine="720"/>
        <w:jc w:val="both"/>
        <w:rPr>
          <w:b/>
          <w:bCs/>
          <w:u w:val="none"/>
          <w:lang w:val="ru-RU"/>
        </w:rPr>
      </w:pPr>
      <w:r w:rsidRPr="00F670D2">
        <w:rPr>
          <w:b/>
          <w:bCs/>
          <w:u w:val="none"/>
          <w:lang w:val="ru-RU"/>
        </w:rPr>
        <w:t>Лечение:</w:t>
      </w:r>
    </w:p>
    <w:p w:rsidR="00333144" w:rsidRPr="00F670D2" w:rsidRDefault="00333144" w:rsidP="00F670D2">
      <w:pPr>
        <w:tabs>
          <w:tab w:val="left" w:pos="426"/>
        </w:tabs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Режим общий, стол №15, сухой туалет наружного слухового прохода, закладывание турунд пропитанных ципрофлоксоцинном в наружной слуховой проход.</w:t>
      </w:r>
    </w:p>
    <w:p w:rsidR="00333144" w:rsidRPr="00F670D2" w:rsidRDefault="00333144" w:rsidP="00F670D2">
      <w:pPr>
        <w:tabs>
          <w:tab w:val="left" w:pos="426"/>
        </w:tabs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Антибиотикотерапия:</w:t>
      </w:r>
      <w:r w:rsidR="00800EBF">
        <w:rPr>
          <w:sz w:val="28"/>
          <w:szCs w:val="28"/>
        </w:rPr>
        <w:t xml:space="preserve"> </w:t>
      </w:r>
      <w:r w:rsidRPr="00F670D2">
        <w:rPr>
          <w:sz w:val="28"/>
          <w:szCs w:val="28"/>
        </w:rPr>
        <w:t>ципрофлоксоцин.</w:t>
      </w:r>
    </w:p>
    <w:p w:rsidR="00333144" w:rsidRPr="00F670D2" w:rsidRDefault="00333144" w:rsidP="00F670D2">
      <w:pPr>
        <w:tabs>
          <w:tab w:val="left" w:pos="426"/>
        </w:tabs>
        <w:suppressAutoHyphens w:val="0"/>
        <w:spacing w:line="360" w:lineRule="auto"/>
        <w:ind w:firstLine="72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Физиотерапия: УВЧ, ЛАЗЕР, Кварц, Луч 2.</w:t>
      </w:r>
    </w:p>
    <w:p w:rsidR="00333144" w:rsidRPr="00F670D2" w:rsidRDefault="00BC69B0" w:rsidP="00BC69B0">
      <w:pPr>
        <w:tabs>
          <w:tab w:val="left" w:pos="426"/>
        </w:tabs>
        <w:suppressAutoHyphens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33144" w:rsidRPr="00F670D2">
        <w:rPr>
          <w:b/>
          <w:bCs/>
          <w:sz w:val="28"/>
          <w:szCs w:val="28"/>
        </w:rPr>
        <w:t>ЛИТЕРАТУРА</w:t>
      </w:r>
    </w:p>
    <w:p w:rsidR="00333144" w:rsidRPr="00F670D2" w:rsidRDefault="00333144" w:rsidP="00F670D2">
      <w:pPr>
        <w:suppressAutoHyphens w:val="0"/>
        <w:spacing w:line="360" w:lineRule="auto"/>
        <w:ind w:firstLine="720"/>
        <w:jc w:val="both"/>
        <w:rPr>
          <w:sz w:val="28"/>
          <w:szCs w:val="28"/>
        </w:rPr>
      </w:pPr>
    </w:p>
    <w:p w:rsidR="00333144" w:rsidRPr="00F670D2" w:rsidRDefault="00333144" w:rsidP="00BC69B0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Курс лекций по оториноларингологии. Проф. Г.М.Портенко. ТГМА. Кафедра оториноларингологии с курсом детской оториноларингологии. Тверь. 2004.</w:t>
      </w:r>
    </w:p>
    <w:p w:rsidR="00333144" w:rsidRPr="00F670D2" w:rsidRDefault="00333144" w:rsidP="00BC69B0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Пальчун В.Т., Крюков А.И. Оториноларингология. М.: «ЛИТЕРА». 1997.</w:t>
      </w:r>
    </w:p>
    <w:p w:rsidR="00333144" w:rsidRPr="00F670D2" w:rsidRDefault="00333144" w:rsidP="00BC69B0">
      <w:pPr>
        <w:numPr>
          <w:ilvl w:val="0"/>
          <w:numId w:val="3"/>
        </w:numPr>
        <w:tabs>
          <w:tab w:val="left" w:pos="720"/>
        </w:tabs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F670D2">
        <w:rPr>
          <w:sz w:val="28"/>
          <w:szCs w:val="28"/>
        </w:rPr>
        <w:t>Болезни уха, горла и носа. Под ред. В.Т.Пальчуна. М.: «Медицина». 1991.</w:t>
      </w:r>
    </w:p>
    <w:sectPr w:rsidR="00333144" w:rsidRPr="00F670D2" w:rsidSect="00F670D2">
      <w:footerReference w:type="default" r:id="rId8"/>
      <w:footnotePr>
        <w:pos w:val="beneathText"/>
      </w:footnotePr>
      <w:pgSz w:w="11905" w:h="16837" w:code="9"/>
      <w:pgMar w:top="1134" w:right="851" w:bottom="1134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23" w:rsidRDefault="008C6E23">
      <w:r>
        <w:separator/>
      </w:r>
    </w:p>
  </w:endnote>
  <w:endnote w:type="continuationSeparator" w:id="0">
    <w:p w:rsidR="008C6E23" w:rsidRDefault="008C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44" w:rsidRDefault="0033314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23" w:rsidRDefault="008C6E23">
      <w:r>
        <w:separator/>
      </w:r>
    </w:p>
  </w:footnote>
  <w:footnote w:type="continuationSeparator" w:id="0">
    <w:p w:rsidR="008C6E23" w:rsidRDefault="008C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D2"/>
    <w:rsid w:val="001D6922"/>
    <w:rsid w:val="00333144"/>
    <w:rsid w:val="00745696"/>
    <w:rsid w:val="00800EBF"/>
    <w:rsid w:val="008C6E23"/>
    <w:rsid w:val="00932DE1"/>
    <w:rsid w:val="00BC69B0"/>
    <w:rsid w:val="00F406A6"/>
    <w:rsid w:val="00F6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line="200" w:lineRule="atLeast"/>
      <w:ind w:firstLine="34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line="200" w:lineRule="atLeast"/>
      <w:jc w:val="both"/>
      <w:outlineLvl w:val="3"/>
    </w:pPr>
    <w:rPr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tabs>
        <w:tab w:val="left" w:pos="426"/>
      </w:tabs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spacing w:line="200" w:lineRule="atLeast"/>
      <w:jc w:val="center"/>
      <w:outlineLvl w:val="5"/>
    </w:pPr>
    <w:rPr>
      <w:sz w:val="28"/>
      <w:szCs w:val="28"/>
      <w:u w:val="single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tabs>
        <w:tab w:val="left" w:pos="426"/>
      </w:tabs>
      <w:jc w:val="center"/>
      <w:outlineLvl w:val="6"/>
    </w:pPr>
    <w:rPr>
      <w:sz w:val="28"/>
      <w:szCs w:val="28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1"/>
      </w:numPr>
      <w:jc w:val="center"/>
      <w:outlineLvl w:val="8"/>
    </w:pPr>
    <w:rPr>
      <w:sz w:val="30"/>
      <w:szCs w:val="3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lang w:eastAsia="ar-SA"/>
    </w:rPr>
  </w:style>
  <w:style w:type="character" w:customStyle="1" w:styleId="WW8Num3z0">
    <w:name w:val="WW8Num3z0"/>
    <w:uiPriority w:val="99"/>
    <w:rPr>
      <w:sz w:val="26"/>
      <w:szCs w:val="26"/>
    </w:rPr>
  </w:style>
  <w:style w:type="character" w:customStyle="1" w:styleId="WW8Num4z0">
    <w:name w:val="WW8Num4z0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Основной шрифт абзаца1"/>
    <w:uiPriority w:val="99"/>
  </w:style>
  <w:style w:type="character" w:styleId="a3">
    <w:name w:val="page number"/>
    <w:basedOn w:val="11"/>
    <w:uiPriority w:val="99"/>
  </w:style>
  <w:style w:type="character" w:customStyle="1" w:styleId="a4">
    <w:name w:val="Символ нумерации"/>
    <w:uiPriority w:val="99"/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  <w:lang w:eastAsia="ar-SA"/>
    </w:rPr>
  </w:style>
  <w:style w:type="paragraph" w:styleId="a8">
    <w:name w:val="List"/>
    <w:basedOn w:val="a6"/>
    <w:uiPriority w:val="99"/>
    <w:rPr>
      <w:rFonts w:ascii="Arial" w:hAnsi="Arial" w:cs="Ari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9">
    <w:name w:val="Title"/>
    <w:basedOn w:val="a"/>
    <w:next w:val="aa"/>
    <w:link w:val="ab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a">
    <w:name w:val="Subtitle"/>
    <w:basedOn w:val="a"/>
    <w:next w:val="a6"/>
    <w:link w:val="ac"/>
    <w:uiPriority w:val="99"/>
    <w:qFormat/>
    <w:pPr>
      <w:jc w:val="right"/>
    </w:pPr>
    <w:rPr>
      <w:b/>
      <w:bCs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pPr>
      <w:ind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pPr>
      <w:spacing w:line="200" w:lineRule="atLeast"/>
      <w:ind w:left="7200" w:hanging="360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sz w:val="20"/>
      <w:szCs w:val="20"/>
      <w:lang w:eastAsia="ar-SA"/>
    </w:rPr>
  </w:style>
  <w:style w:type="paragraph" w:customStyle="1" w:styleId="WW-BodyText2">
    <w:name w:val="WW-Body Text 2"/>
    <w:basedOn w:val="a"/>
    <w:uiPriority w:val="99"/>
    <w:pPr>
      <w:tabs>
        <w:tab w:val="left" w:pos="426"/>
      </w:tabs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pPr>
      <w:ind w:firstLine="284"/>
      <w:jc w:val="both"/>
    </w:pPr>
  </w:style>
  <w:style w:type="paragraph" w:customStyle="1" w:styleId="14">
    <w:name w:val="Текст1"/>
    <w:basedOn w:val="a"/>
    <w:uiPriority w:val="99"/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pPr>
      <w:spacing w:line="360" w:lineRule="auto"/>
    </w:pPr>
    <w:rPr>
      <w:sz w:val="28"/>
      <w:szCs w:val="28"/>
    </w:rPr>
  </w:style>
  <w:style w:type="paragraph" w:customStyle="1" w:styleId="310">
    <w:name w:val="Основной текст с отступом 31"/>
    <w:basedOn w:val="a"/>
    <w:uiPriority w:val="99"/>
    <w:pPr>
      <w:spacing w:line="360" w:lineRule="auto"/>
      <w:ind w:left="4111"/>
    </w:pPr>
    <w:rPr>
      <w:i/>
      <w:iCs/>
      <w:sz w:val="32"/>
      <w:szCs w:val="32"/>
    </w:rPr>
  </w:style>
  <w:style w:type="paragraph" w:customStyle="1" w:styleId="af1">
    <w:name w:val="Содержимое таблицы"/>
    <w:basedOn w:val="a"/>
    <w:uiPriority w:val="99"/>
    <w:pPr>
      <w:suppressLineNumbers/>
    </w:pPr>
  </w:style>
  <w:style w:type="paragraph" w:customStyle="1" w:styleId="af2">
    <w:name w:val="Заголовок таблицы"/>
    <w:basedOn w:val="af1"/>
    <w:uiPriority w:val="99"/>
    <w:pPr>
      <w:jc w:val="center"/>
    </w:pPr>
    <w:rPr>
      <w:b/>
      <w:bCs/>
    </w:rPr>
  </w:style>
  <w:style w:type="paragraph" w:customStyle="1" w:styleId="af3">
    <w:name w:val="Содержимое врезки"/>
    <w:basedOn w:val="a6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line="200" w:lineRule="atLeast"/>
      <w:ind w:firstLine="340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line="200" w:lineRule="atLeast"/>
      <w:jc w:val="both"/>
      <w:outlineLvl w:val="3"/>
    </w:pPr>
    <w:rPr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tabs>
        <w:tab w:val="left" w:pos="426"/>
      </w:tabs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spacing w:line="200" w:lineRule="atLeast"/>
      <w:jc w:val="center"/>
      <w:outlineLvl w:val="5"/>
    </w:pPr>
    <w:rPr>
      <w:sz w:val="28"/>
      <w:szCs w:val="28"/>
      <w:u w:val="single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tabs>
        <w:tab w:val="left" w:pos="426"/>
      </w:tabs>
      <w:jc w:val="center"/>
      <w:outlineLvl w:val="6"/>
    </w:pPr>
    <w:rPr>
      <w:sz w:val="28"/>
      <w:szCs w:val="28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1"/>
      </w:numPr>
      <w:jc w:val="center"/>
      <w:outlineLvl w:val="8"/>
    </w:pPr>
    <w:rPr>
      <w:sz w:val="30"/>
      <w:szCs w:val="3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lang w:eastAsia="ar-SA"/>
    </w:rPr>
  </w:style>
  <w:style w:type="character" w:customStyle="1" w:styleId="WW8Num3z0">
    <w:name w:val="WW8Num3z0"/>
    <w:uiPriority w:val="99"/>
    <w:rPr>
      <w:sz w:val="26"/>
      <w:szCs w:val="26"/>
    </w:rPr>
  </w:style>
  <w:style w:type="character" w:customStyle="1" w:styleId="WW8Num4z0">
    <w:name w:val="WW8Num4z0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Основной шрифт абзаца1"/>
    <w:uiPriority w:val="99"/>
  </w:style>
  <w:style w:type="character" w:styleId="a3">
    <w:name w:val="page number"/>
    <w:basedOn w:val="11"/>
    <w:uiPriority w:val="99"/>
  </w:style>
  <w:style w:type="character" w:customStyle="1" w:styleId="a4">
    <w:name w:val="Символ нумерации"/>
    <w:uiPriority w:val="99"/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6">
    <w:name w:val="Body Text"/>
    <w:basedOn w:val="a"/>
    <w:link w:val="a7"/>
    <w:uiPriority w:val="99"/>
    <w:pPr>
      <w:jc w:val="both"/>
    </w:pPr>
    <w:rPr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  <w:lang w:eastAsia="ar-SA"/>
    </w:rPr>
  </w:style>
  <w:style w:type="paragraph" w:styleId="a8">
    <w:name w:val="List"/>
    <w:basedOn w:val="a6"/>
    <w:uiPriority w:val="99"/>
    <w:rPr>
      <w:rFonts w:ascii="Arial" w:hAnsi="Arial" w:cs="Ari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Arial"/>
    </w:rPr>
  </w:style>
  <w:style w:type="paragraph" w:styleId="a9">
    <w:name w:val="Title"/>
    <w:basedOn w:val="a"/>
    <w:next w:val="aa"/>
    <w:link w:val="ab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a">
    <w:name w:val="Subtitle"/>
    <w:basedOn w:val="a"/>
    <w:next w:val="a6"/>
    <w:link w:val="ac"/>
    <w:uiPriority w:val="99"/>
    <w:qFormat/>
    <w:pPr>
      <w:jc w:val="right"/>
    </w:pPr>
    <w:rPr>
      <w:b/>
      <w:bCs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pPr>
      <w:ind w:firstLine="284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pPr>
      <w:spacing w:line="200" w:lineRule="atLeast"/>
      <w:ind w:left="7200" w:hanging="3600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Pr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sz w:val="20"/>
      <w:szCs w:val="20"/>
      <w:lang w:eastAsia="ar-SA"/>
    </w:rPr>
  </w:style>
  <w:style w:type="paragraph" w:customStyle="1" w:styleId="WW-BodyText2">
    <w:name w:val="WW-Body Text 2"/>
    <w:basedOn w:val="a"/>
    <w:uiPriority w:val="99"/>
    <w:pPr>
      <w:tabs>
        <w:tab w:val="left" w:pos="426"/>
      </w:tabs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pPr>
      <w:ind w:firstLine="284"/>
      <w:jc w:val="both"/>
    </w:pPr>
  </w:style>
  <w:style w:type="paragraph" w:customStyle="1" w:styleId="14">
    <w:name w:val="Текст1"/>
    <w:basedOn w:val="a"/>
    <w:uiPriority w:val="99"/>
    <w:rPr>
      <w:rFonts w:ascii="Courier New" w:hAnsi="Courier New" w:cs="Courier New"/>
    </w:rPr>
  </w:style>
  <w:style w:type="paragraph" w:customStyle="1" w:styleId="211">
    <w:name w:val="Основной текст 21"/>
    <w:basedOn w:val="a"/>
    <w:uiPriority w:val="99"/>
    <w:pPr>
      <w:spacing w:line="360" w:lineRule="auto"/>
    </w:pPr>
    <w:rPr>
      <w:sz w:val="28"/>
      <w:szCs w:val="28"/>
    </w:rPr>
  </w:style>
  <w:style w:type="paragraph" w:customStyle="1" w:styleId="310">
    <w:name w:val="Основной текст с отступом 31"/>
    <w:basedOn w:val="a"/>
    <w:uiPriority w:val="99"/>
    <w:pPr>
      <w:spacing w:line="360" w:lineRule="auto"/>
      <w:ind w:left="4111"/>
    </w:pPr>
    <w:rPr>
      <w:i/>
      <w:iCs/>
      <w:sz w:val="32"/>
      <w:szCs w:val="32"/>
    </w:rPr>
  </w:style>
  <w:style w:type="paragraph" w:customStyle="1" w:styleId="af1">
    <w:name w:val="Содержимое таблицы"/>
    <w:basedOn w:val="a"/>
    <w:uiPriority w:val="99"/>
    <w:pPr>
      <w:suppressLineNumbers/>
    </w:pPr>
  </w:style>
  <w:style w:type="paragraph" w:customStyle="1" w:styleId="af2">
    <w:name w:val="Заголовок таблицы"/>
    <w:basedOn w:val="af1"/>
    <w:uiPriority w:val="99"/>
    <w:pPr>
      <w:jc w:val="center"/>
    </w:pPr>
    <w:rPr>
      <w:b/>
      <w:bCs/>
    </w:rPr>
  </w:style>
  <w:style w:type="paragraph" w:customStyle="1" w:styleId="af3">
    <w:name w:val="Содержимое врезки"/>
    <w:basedOn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6958</Characters>
  <Application>Microsoft Office Word</Application>
  <DocSecurity>0</DocSecurity>
  <Lines>57</Lines>
  <Paragraphs>16</Paragraphs>
  <ScaleCrop>false</ScaleCrop>
  <Company>SBU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ЯРОСЛАВСКАЯ ГОСУДАРСТВЕННАЯ  МЕДИЦИНСКАЯ  АКАДЕМИЯ</dc:title>
  <dc:creator>Малыгин Александр Юрьевич</dc:creator>
  <cp:lastModifiedBy>Igor</cp:lastModifiedBy>
  <cp:revision>2</cp:revision>
  <cp:lastPrinted>2006-12-24T13:22:00Z</cp:lastPrinted>
  <dcterms:created xsi:type="dcterms:W3CDTF">2024-09-19T06:12:00Z</dcterms:created>
  <dcterms:modified xsi:type="dcterms:W3CDTF">2024-09-19T06:12:00Z</dcterms:modified>
</cp:coreProperties>
</file>