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13A9">
      <w:pPr>
        <w:pStyle w:val="ConsPlusNormal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Введение</w:t>
      </w:r>
    </w:p>
    <w:p w:rsidR="00000000" w:rsidRDefault="00A113A9">
      <w:pPr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сложный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многоплановый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</w:t>
      </w:r>
      <w:r>
        <w:rPr>
          <w:sz w:val="28"/>
          <w:szCs w:val="28"/>
        </w:rPr>
        <w:t>риятии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напрямую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конфликтом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</w:t>
      </w:r>
      <w:r>
        <w:rPr>
          <w:sz w:val="28"/>
          <w:szCs w:val="28"/>
        </w:rPr>
        <w:t>тветствующими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профилактическими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</w:t>
      </w:r>
      <w:r>
        <w:rPr>
          <w:b/>
          <w:bCs/>
          <w:sz w:val="28"/>
          <w:szCs w:val="28"/>
        </w:rPr>
        <w:t xml:space="preserve"> 1. </w:t>
      </w:r>
      <w:r>
        <w:rPr>
          <w:b/>
          <w:bCs/>
          <w:sz w:val="28"/>
          <w:szCs w:val="28"/>
        </w:rPr>
        <w:t>Эмоционально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информационное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ситуацией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Пользуясь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получаемой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раскручивать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нарастает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цепочке</w:t>
      </w:r>
      <w:r>
        <w:rPr>
          <w:sz w:val="28"/>
          <w:szCs w:val="28"/>
        </w:rPr>
        <w:t xml:space="preserve">".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отсечь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предвзятость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необъективность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пренебрегать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столкнуться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эффектом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самонакручивания</w:t>
      </w:r>
      <w:r>
        <w:rPr>
          <w:sz w:val="28"/>
          <w:szCs w:val="28"/>
        </w:rPr>
        <w:t xml:space="preserve">".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накал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</w:t>
      </w:r>
      <w:r>
        <w:rPr>
          <w:sz w:val="28"/>
          <w:szCs w:val="28"/>
        </w:rPr>
        <w:t>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держать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предконфликтного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алгоритму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справиться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попробовать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z w:val="28"/>
          <w:szCs w:val="28"/>
        </w:rPr>
        <w:t>: "</w:t>
      </w:r>
      <w:r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присядем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поговорим</w:t>
      </w:r>
      <w:r>
        <w:rPr>
          <w:sz w:val="28"/>
          <w:szCs w:val="28"/>
        </w:rPr>
        <w:t>", "</w:t>
      </w:r>
      <w:r>
        <w:rPr>
          <w:sz w:val="28"/>
          <w:szCs w:val="28"/>
        </w:rPr>
        <w:t>выпейте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успокойтесь</w:t>
      </w:r>
      <w:r>
        <w:rPr>
          <w:sz w:val="28"/>
          <w:szCs w:val="28"/>
        </w:rPr>
        <w:t>", "</w:t>
      </w:r>
      <w:r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успокойтесь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поговорим</w:t>
      </w:r>
      <w:r>
        <w:rPr>
          <w:sz w:val="28"/>
          <w:szCs w:val="28"/>
        </w:rPr>
        <w:t xml:space="preserve">".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отвлечение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>: "</w:t>
      </w:r>
      <w:r>
        <w:rPr>
          <w:sz w:val="28"/>
          <w:szCs w:val="28"/>
        </w:rPr>
        <w:t>подождите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звонок</w:t>
      </w:r>
      <w:r>
        <w:rPr>
          <w:sz w:val="28"/>
          <w:szCs w:val="28"/>
        </w:rPr>
        <w:t>", "</w:t>
      </w:r>
      <w:r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z w:val="28"/>
          <w:szCs w:val="28"/>
        </w:rPr>
        <w:t>?", "</w:t>
      </w:r>
      <w:r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удобно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пригласим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.?"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позволяйте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отвлекала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>веты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выяснить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важны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разговаривать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",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посредниками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искажать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</w:t>
      </w:r>
      <w:r>
        <w:rPr>
          <w:sz w:val="28"/>
          <w:szCs w:val="28"/>
        </w:rPr>
        <w:t>елить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каковы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последствия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включаться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Разобраться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выход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заряжена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психиатра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Быкова</w:t>
      </w:r>
      <w:r>
        <w:rPr>
          <w:sz w:val="28"/>
          <w:szCs w:val="28"/>
        </w:rPr>
        <w:t>: "</w:t>
      </w:r>
      <w:r>
        <w:rPr>
          <w:sz w:val="28"/>
          <w:szCs w:val="28"/>
        </w:rPr>
        <w:t>Печаль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выплаканная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слезах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z w:val="28"/>
          <w:szCs w:val="28"/>
        </w:rPr>
        <w:t xml:space="preserve">". </w:t>
      </w:r>
      <w:r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любые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</w:t>
      </w:r>
      <w:r>
        <w:rPr>
          <w:b/>
          <w:bCs/>
          <w:sz w:val="28"/>
          <w:szCs w:val="28"/>
        </w:rPr>
        <w:t xml:space="preserve"> 2. </w:t>
      </w:r>
      <w:r>
        <w:rPr>
          <w:b/>
          <w:bCs/>
          <w:sz w:val="28"/>
          <w:szCs w:val="28"/>
        </w:rPr>
        <w:t>Техника</w:t>
      </w:r>
      <w:r>
        <w:rPr>
          <w:b/>
          <w:bCs/>
          <w:sz w:val="28"/>
          <w:szCs w:val="28"/>
        </w:rPr>
        <w:t xml:space="preserve"> "</w:t>
      </w:r>
      <w:r>
        <w:rPr>
          <w:b/>
          <w:bCs/>
          <w:sz w:val="28"/>
          <w:szCs w:val="28"/>
        </w:rPr>
        <w:t>активного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слушания</w:t>
      </w:r>
      <w:r>
        <w:rPr>
          <w:b/>
          <w:bCs/>
          <w:sz w:val="28"/>
          <w:szCs w:val="28"/>
        </w:rPr>
        <w:t>"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- "</w:t>
      </w:r>
      <w:r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слушание</w:t>
      </w:r>
      <w:r>
        <w:rPr>
          <w:sz w:val="28"/>
          <w:szCs w:val="28"/>
        </w:rPr>
        <w:t xml:space="preserve">". </w:t>
      </w:r>
      <w:r>
        <w:rPr>
          <w:sz w:val="28"/>
          <w:szCs w:val="28"/>
        </w:rPr>
        <w:t>Приемы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Известный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бестселлера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Карьера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менеджера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Якокк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говорил</w:t>
      </w:r>
      <w:r>
        <w:rPr>
          <w:sz w:val="28"/>
          <w:szCs w:val="28"/>
        </w:rPr>
        <w:t>: "</w:t>
      </w:r>
      <w:r>
        <w:rPr>
          <w:sz w:val="28"/>
          <w:szCs w:val="28"/>
        </w:rPr>
        <w:t>Жаль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заведения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Ведь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". </w:t>
      </w:r>
      <w:r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любо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эффективна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первых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разобраться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происходящими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торопясь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вторых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позитивные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>-</w:t>
      </w:r>
      <w:r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Рекомендуя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психологи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сумеете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слушаете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понимаете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очувствуете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сводите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минимуму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воспользоваться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Собеседнику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почувствовать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услышанным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понятым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думает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беспокойство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взаимном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недопонимании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слышать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истинные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табл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1).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A113A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1. </w:t>
      </w:r>
      <w:r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типовых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конфликтной</w:t>
      </w:r>
    </w:p>
    <w:p w:rsidR="00000000" w:rsidRDefault="00A113A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слушания</w:t>
      </w:r>
      <w:r>
        <w:rPr>
          <w:sz w:val="28"/>
          <w:szCs w:val="28"/>
        </w:rPr>
        <w:t>"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920"/>
        <w:gridCol w:w="3920"/>
      </w:tblGrid>
      <w:tr w:rsidR="00000000">
        <w:trPr>
          <w:trHeight w:val="360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сказано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другим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человеком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чувствует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или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подразумевает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можно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сказать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чтобы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раскрыть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чувства</w:t>
            </w:r>
          </w:p>
        </w:tc>
      </w:tr>
      <w:tr w:rsidR="00000000">
        <w:trPr>
          <w:trHeight w:val="960"/>
        </w:trPr>
        <w:tc>
          <w:tcPr>
            <w:tcW w:w="2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Делай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хочешь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Мне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нравится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собираешься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сделать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мое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мнение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волнует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думаю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сделал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случае</w:t>
            </w:r>
            <w:r>
              <w:rPr>
                <w:sz w:val="28"/>
                <w:szCs w:val="28"/>
              </w:rPr>
              <w:t xml:space="preserve">"              </w:t>
            </w:r>
          </w:p>
        </w:tc>
        <w:tc>
          <w:tcPr>
            <w:tcW w:w="3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Мне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кажется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нравится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действительности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хочешь</w:t>
            </w:r>
            <w:r>
              <w:rPr>
                <w:sz w:val="28"/>
                <w:szCs w:val="28"/>
              </w:rPr>
              <w:t xml:space="preserve">?" </w:t>
            </w:r>
          </w:p>
        </w:tc>
      </w:tr>
      <w:tr w:rsidR="00000000">
        <w:trPr>
          <w:trHeight w:val="600"/>
        </w:trPr>
        <w:tc>
          <w:tcPr>
            <w:tcW w:w="2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Мне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"   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Мне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равно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говорить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смысла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ведь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слушаешь</w:t>
            </w:r>
            <w:r>
              <w:rPr>
                <w:sz w:val="28"/>
                <w:szCs w:val="28"/>
              </w:rPr>
              <w:t xml:space="preserve">"         </w:t>
            </w:r>
          </w:p>
        </w:tc>
        <w:tc>
          <w:tcPr>
            <w:tcW w:w="3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раздражает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случившееся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заботит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"  </w:t>
            </w:r>
          </w:p>
        </w:tc>
      </w:tr>
      <w:tr w:rsidR="00000000">
        <w:trPr>
          <w:trHeight w:val="600"/>
        </w:trPr>
        <w:tc>
          <w:tcPr>
            <w:tcW w:w="2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Поступай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считаешь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нужным</w:t>
            </w:r>
            <w:r>
              <w:rPr>
                <w:sz w:val="28"/>
                <w:szCs w:val="28"/>
              </w:rPr>
              <w:t xml:space="preserve">"  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слишком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спорить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тобой</w:t>
            </w:r>
            <w:r>
              <w:rPr>
                <w:sz w:val="28"/>
                <w:szCs w:val="28"/>
              </w:rPr>
              <w:t xml:space="preserve">.     </w:t>
            </w:r>
            <w:r>
              <w:rPr>
                <w:sz w:val="28"/>
                <w:szCs w:val="28"/>
              </w:rPr>
              <w:t>Поступай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хочешь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хо</w:t>
            </w:r>
            <w:r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против</w:t>
            </w:r>
            <w:r>
              <w:rPr>
                <w:sz w:val="28"/>
                <w:szCs w:val="28"/>
              </w:rPr>
              <w:t xml:space="preserve">" </w:t>
            </w:r>
          </w:p>
        </w:tc>
        <w:tc>
          <w:tcPr>
            <w:tcW w:w="3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считаешь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хочу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чтобы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достигли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желаемого</w:t>
            </w:r>
            <w:r>
              <w:rPr>
                <w:sz w:val="28"/>
                <w:szCs w:val="28"/>
              </w:rPr>
              <w:t>"</w:t>
            </w:r>
          </w:p>
        </w:tc>
      </w:tr>
      <w:tr w:rsidR="00000000">
        <w:trPr>
          <w:trHeight w:val="960"/>
        </w:trPr>
        <w:tc>
          <w:tcPr>
            <w:tcW w:w="2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Ладно</w:t>
            </w:r>
            <w:r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другое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внешнего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одобрения</w:t>
            </w:r>
            <w:r>
              <w:rPr>
                <w:sz w:val="28"/>
                <w:szCs w:val="28"/>
              </w:rPr>
              <w:t xml:space="preserve">,       </w:t>
            </w:r>
            <w:r>
              <w:rPr>
                <w:sz w:val="28"/>
                <w:szCs w:val="28"/>
              </w:rPr>
              <w:t>сказанное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неохотно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гневом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голосе</w:t>
            </w:r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согласен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самом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обижен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зол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тебя</w:t>
            </w:r>
            <w:r>
              <w:rPr>
                <w:sz w:val="28"/>
                <w:szCs w:val="28"/>
              </w:rPr>
              <w:t xml:space="preserve">"  </w:t>
            </w:r>
          </w:p>
        </w:tc>
        <w:tc>
          <w:tcPr>
            <w:tcW w:w="3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113A9">
            <w:pPr>
              <w:pStyle w:val="ConsPlusNormal"/>
              <w:ind w:left="10" w:righ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нравится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действительно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хочу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этому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относишься</w:t>
            </w:r>
            <w:r>
              <w:rPr>
                <w:sz w:val="28"/>
                <w:szCs w:val="28"/>
              </w:rPr>
              <w:t xml:space="preserve">"  </w:t>
            </w:r>
          </w:p>
        </w:tc>
      </w:tr>
    </w:tbl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слушания</w:t>
      </w:r>
      <w:r>
        <w:rPr>
          <w:sz w:val="28"/>
          <w:szCs w:val="28"/>
        </w:rPr>
        <w:t>"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Слушайте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сочувствием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охвачены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попытайтесь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еловека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Вообразите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Сосредоточьтесь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отвлекаться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концентрируйте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разговора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Относитесь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уважительно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Помните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погрязнуть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взаимном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неприятии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оскорблениях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Слушайте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оценок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наилучший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думает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препятствовать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услышанном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слушают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Повторите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отмечены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Выделите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уверены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z w:val="28"/>
          <w:szCs w:val="28"/>
        </w:rPr>
        <w:t>: 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>..?", 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чувствуете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раздражение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гнев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обиду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поводу</w:t>
      </w:r>
      <w:r>
        <w:rPr>
          <w:sz w:val="28"/>
          <w:szCs w:val="28"/>
        </w:rPr>
        <w:t>..?", "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случившемся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подробнее</w:t>
      </w:r>
      <w:r>
        <w:rPr>
          <w:sz w:val="28"/>
          <w:szCs w:val="28"/>
        </w:rPr>
        <w:t>?", "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сказали</w:t>
      </w:r>
      <w:r>
        <w:rPr>
          <w:sz w:val="28"/>
          <w:szCs w:val="28"/>
        </w:rPr>
        <w:t>?"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Подобные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побудить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чувствуете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описал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спрашиваете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тоном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располагать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откровенности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Используйте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неречевые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Улыбайтесь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склоняйтесь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кивайте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смотрите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глаза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Показывайте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сказанное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Помните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небезразличны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сказанному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искренне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интересуетесь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Защита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собственных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чувств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удалось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переговорный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Ключевой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>утверждений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". </w:t>
      </w:r>
      <w:r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научиться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хотите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думаете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отстаиваете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обвинитель</w:t>
      </w:r>
      <w:r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собеседника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осуждаете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обвиняете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атакуете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оппонента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конфликтная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обостряется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>-</w:t>
      </w:r>
      <w:r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>-</w:t>
      </w:r>
      <w:r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", </w:t>
      </w:r>
      <w:r>
        <w:rPr>
          <w:sz w:val="28"/>
          <w:szCs w:val="28"/>
        </w:rPr>
        <w:t>напротив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усугублять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обвинительными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осудительными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наступательными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вынуждающими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оборонительную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типичных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>-</w:t>
      </w:r>
      <w:r>
        <w:rPr>
          <w:sz w:val="28"/>
          <w:szCs w:val="28"/>
        </w:rPr>
        <w:t>утверждений</w:t>
      </w:r>
      <w:r>
        <w:rPr>
          <w:sz w:val="28"/>
          <w:szCs w:val="28"/>
        </w:rPr>
        <w:t>": 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ошибаетесь</w:t>
      </w:r>
      <w:r>
        <w:rPr>
          <w:sz w:val="28"/>
          <w:szCs w:val="28"/>
        </w:rPr>
        <w:t>"; 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..."; </w:t>
      </w:r>
      <w:r>
        <w:rPr>
          <w:sz w:val="28"/>
          <w:szCs w:val="28"/>
        </w:rPr>
        <w:lastRenderedPageBreak/>
        <w:t>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опрометчиво</w:t>
      </w:r>
      <w:r>
        <w:rPr>
          <w:sz w:val="28"/>
          <w:szCs w:val="28"/>
        </w:rPr>
        <w:t>"; 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>
        <w:rPr>
          <w:sz w:val="28"/>
          <w:szCs w:val="28"/>
        </w:rPr>
        <w:t>...".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ошибка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неправоты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Безусловно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ухудшается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Приведем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обвинительные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>-</w:t>
      </w:r>
      <w:r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мягкие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эффективные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>утверждения</w:t>
      </w:r>
      <w:r>
        <w:rPr>
          <w:sz w:val="28"/>
          <w:szCs w:val="28"/>
        </w:rPr>
        <w:t>" (</w:t>
      </w:r>
      <w:r>
        <w:rPr>
          <w:sz w:val="28"/>
          <w:szCs w:val="28"/>
        </w:rPr>
        <w:t>см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табл</w:t>
      </w:r>
      <w:r>
        <w:rPr>
          <w:sz w:val="28"/>
          <w:szCs w:val="28"/>
        </w:rPr>
        <w:t>. 2).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2. </w:t>
      </w:r>
      <w:r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Вы</w:t>
      </w:r>
      <w:r>
        <w:rPr>
          <w:sz w:val="28"/>
          <w:szCs w:val="28"/>
        </w:rPr>
        <w:t>-</w:t>
      </w:r>
      <w:r>
        <w:rPr>
          <w:sz w:val="28"/>
          <w:szCs w:val="28"/>
        </w:rPr>
        <w:t>утверждений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>утверждениям</w:t>
      </w:r>
      <w:r>
        <w:rPr>
          <w:sz w:val="28"/>
          <w:szCs w:val="28"/>
        </w:rPr>
        <w:t>"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9"/>
        <w:gridCol w:w="6080"/>
      </w:tblGrid>
      <w:tr w:rsidR="00000000">
        <w:trPr>
          <w:trHeight w:val="360"/>
        </w:trPr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r>
              <w:rPr>
                <w:b/>
                <w:bCs/>
                <w:sz w:val="28"/>
                <w:szCs w:val="28"/>
              </w:rPr>
              <w:t>Вы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утверждения</w:t>
            </w:r>
            <w:r>
              <w:rPr>
                <w:b/>
                <w:bCs/>
                <w:sz w:val="28"/>
                <w:szCs w:val="28"/>
              </w:rPr>
              <w:t>"   (</w:t>
            </w:r>
            <w:r>
              <w:rPr>
                <w:b/>
                <w:bCs/>
                <w:sz w:val="28"/>
                <w:szCs w:val="28"/>
              </w:rPr>
              <w:t>интонация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обвинения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113A9">
            <w:pPr>
              <w:pStyle w:val="ConsPlusNormal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утверждения</w:t>
            </w:r>
            <w:r>
              <w:rPr>
                <w:b/>
                <w:bCs/>
                <w:sz w:val="28"/>
                <w:szCs w:val="28"/>
              </w:rPr>
              <w:t>" (</w:t>
            </w:r>
            <w:r>
              <w:rPr>
                <w:b/>
                <w:bCs/>
                <w:sz w:val="28"/>
                <w:szCs w:val="28"/>
              </w:rPr>
              <w:t>интонация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выражения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чувств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интересов</w:t>
            </w:r>
            <w:r>
              <w:rPr>
                <w:b/>
                <w:bCs/>
                <w:sz w:val="28"/>
                <w:szCs w:val="28"/>
              </w:rPr>
              <w:t xml:space="preserve">)  </w:t>
            </w:r>
          </w:p>
        </w:tc>
      </w:tr>
      <w:tr w:rsidR="00000000">
        <w:trPr>
          <w:trHeight w:val="840"/>
        </w:trPr>
        <w:tc>
          <w:tcPr>
            <w:tcW w:w="3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Когда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нибудь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нужно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ообщаете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последнюю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минуту</w:t>
            </w:r>
            <w:r>
              <w:rPr>
                <w:sz w:val="28"/>
                <w:szCs w:val="28"/>
              </w:rPr>
              <w:t xml:space="preserve">"     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113A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Когда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последнюю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просите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составить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свободным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вами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хотя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сделать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прошу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предупреждать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заранее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предстоящей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  <w:r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000000">
        <w:trPr>
          <w:trHeight w:val="840"/>
        </w:trPr>
        <w:tc>
          <w:tcPr>
            <w:tcW w:w="3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перебиваете</w:t>
            </w:r>
            <w:r>
              <w:rPr>
                <w:sz w:val="28"/>
                <w:szCs w:val="28"/>
              </w:rPr>
              <w:t xml:space="preserve">?"         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113A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Когда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пытаетесь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перебивая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сконцентрироваться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говорите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благодарен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если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высказат</w:t>
            </w:r>
            <w:r>
              <w:rPr>
                <w:sz w:val="28"/>
                <w:szCs w:val="28"/>
              </w:rPr>
              <w:t>ься</w:t>
            </w:r>
            <w:r>
              <w:rPr>
                <w:sz w:val="28"/>
                <w:szCs w:val="28"/>
              </w:rPr>
              <w:t xml:space="preserve">" </w:t>
            </w:r>
          </w:p>
        </w:tc>
      </w:tr>
      <w:tr w:rsidR="00000000">
        <w:trPr>
          <w:trHeight w:val="840"/>
        </w:trPr>
        <w:tc>
          <w:tcPr>
            <w:tcW w:w="3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113A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делаете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того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хочу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поступаете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усмотрению</w:t>
            </w:r>
            <w:r>
              <w:rPr>
                <w:sz w:val="28"/>
                <w:szCs w:val="28"/>
              </w:rPr>
              <w:t xml:space="preserve">"  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113A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Когда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обоих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спрашивая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чувствую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обиду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кажется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интересует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точка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зрения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хо</w:t>
            </w:r>
            <w:r>
              <w:rPr>
                <w:sz w:val="28"/>
                <w:szCs w:val="28"/>
              </w:rPr>
              <w:t>телось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совместного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обсуждения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волнующих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желаний</w:t>
            </w:r>
            <w:r>
              <w:rPr>
                <w:sz w:val="28"/>
                <w:szCs w:val="28"/>
              </w:rPr>
              <w:t>"</w:t>
            </w:r>
          </w:p>
        </w:tc>
      </w:tr>
    </w:tbl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враг</w:t>
      </w:r>
      <w:r>
        <w:rPr>
          <w:sz w:val="28"/>
          <w:szCs w:val="28"/>
        </w:rPr>
        <w:t>!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</w:t>
      </w:r>
      <w:r>
        <w:rPr>
          <w:sz w:val="28"/>
          <w:szCs w:val="28"/>
        </w:rPr>
        <w:t>икой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противоборства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сожалению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Ваши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таковы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неудачах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столкновениях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действий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претензии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Обладателям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</w:t>
      </w:r>
      <w:r>
        <w:rPr>
          <w:sz w:val="28"/>
          <w:szCs w:val="28"/>
        </w:rPr>
        <w:t>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обвинять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грехах</w:t>
      </w:r>
      <w:r>
        <w:rPr>
          <w:sz w:val="28"/>
          <w:szCs w:val="28"/>
        </w:rPr>
        <w:t xml:space="preserve">", </w:t>
      </w:r>
      <w:r>
        <w:rPr>
          <w:sz w:val="28"/>
          <w:szCs w:val="28"/>
        </w:rPr>
        <w:t>нежели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окружающими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Первое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посоветовать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, - </w:t>
      </w:r>
      <w:r>
        <w:rPr>
          <w:sz w:val="28"/>
          <w:szCs w:val="28"/>
        </w:rPr>
        <w:t>обратить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мощную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z w:val="28"/>
          <w:szCs w:val="28"/>
        </w:rPr>
        <w:t>: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bookmarkStart w:id="1" w:name="DDE_LINK2"/>
      <w:r>
        <w:rPr>
          <w:sz w:val="28"/>
          <w:szCs w:val="28"/>
        </w:rPr>
        <w:t>"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</w:t>
      </w:r>
      <w:r>
        <w:rPr>
          <w:sz w:val="28"/>
          <w:szCs w:val="28"/>
        </w:rPr>
        <w:t>?";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</w:t>
      </w:r>
      <w:bookmarkEnd w:id="1"/>
      <w:r>
        <w:rPr>
          <w:sz w:val="28"/>
          <w:szCs w:val="28"/>
        </w:rPr>
        <w:t>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недовольство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везде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работал</w:t>
      </w:r>
      <w:r>
        <w:rPr>
          <w:sz w:val="28"/>
          <w:szCs w:val="28"/>
        </w:rPr>
        <w:t>?!"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z w:val="28"/>
          <w:szCs w:val="28"/>
        </w:rPr>
        <w:t>особности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рефлексии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умению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увидеть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наблюдателя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Рефлексия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лат</w:t>
      </w:r>
      <w:r>
        <w:rPr>
          <w:sz w:val="28"/>
          <w:szCs w:val="28"/>
        </w:rPr>
        <w:t xml:space="preserve">. reflexio - </w:t>
      </w:r>
      <w:r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назад</w:t>
      </w:r>
      <w:r>
        <w:rPr>
          <w:sz w:val="28"/>
          <w:szCs w:val="28"/>
        </w:rPr>
        <w:t xml:space="preserve">) -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реагирует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</w:t>
      </w:r>
      <w:r>
        <w:rPr>
          <w:sz w:val="28"/>
          <w:szCs w:val="28"/>
        </w:rPr>
        <w:t>ствия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своеобразный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удвоенный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зеркальных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попытаться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чувствует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думает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жесткие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обидные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гнева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выкрикивает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угрожающим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шепотом</w:t>
      </w:r>
      <w:r>
        <w:rPr>
          <w:sz w:val="28"/>
          <w:szCs w:val="28"/>
        </w:rPr>
        <w:t>?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упражнений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000000" w:rsidRDefault="00A113A9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видеорелаксации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Не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будучи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дураком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ты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выкинешь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этот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абзац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из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работы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иначе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опозоришься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так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чт</w:t>
      </w:r>
      <w:r>
        <w:rPr>
          <w:rFonts w:ascii="Arial" w:eastAsia="Times New Roman" w:hAnsi="Arial" w:cs="Arial"/>
          <w:sz w:val="28"/>
          <w:szCs w:val="28"/>
        </w:rPr>
        <w:t>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мало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не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покажется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Вот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например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не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прочитал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эту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строку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тут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написано</w:t>
      </w:r>
      <w:r>
        <w:rPr>
          <w:rFonts w:ascii="Arial" w:eastAsia="Times New Roman" w:hAnsi="Arial" w:cs="Arial"/>
          <w:sz w:val="28"/>
          <w:szCs w:val="28"/>
        </w:rPr>
        <w:t xml:space="preserve">: </w:t>
      </w:r>
      <w:r>
        <w:rPr>
          <w:rFonts w:ascii="Arial" w:eastAsia="Times New Roman" w:hAnsi="Arial" w:cs="Arial"/>
          <w:sz w:val="28"/>
          <w:szCs w:val="28"/>
        </w:rPr>
        <w:t>половой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член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длиной</w:t>
      </w:r>
      <w:r>
        <w:rPr>
          <w:rFonts w:ascii="Arial" w:eastAsia="Times New Roman" w:hAnsi="Arial" w:cs="Arial"/>
          <w:sz w:val="28"/>
          <w:szCs w:val="28"/>
        </w:rPr>
        <w:t xml:space="preserve"> 14 </w:t>
      </w:r>
      <w:r>
        <w:rPr>
          <w:rFonts w:ascii="Arial" w:eastAsia="Times New Roman" w:hAnsi="Arial" w:cs="Arial"/>
          <w:sz w:val="28"/>
          <w:szCs w:val="28"/>
        </w:rPr>
        <w:t>сантиметров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вижу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каждый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день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у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моего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соседа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парте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Правда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смешно</w:t>
      </w:r>
      <w:r>
        <w:rPr>
          <w:rFonts w:ascii="Arial" w:eastAsia="Times New Roman" w:hAnsi="Arial" w:cs="Arial"/>
          <w:sz w:val="28"/>
          <w:szCs w:val="28"/>
        </w:rPr>
        <w:t>?</w:t>
      </w: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Этот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абзац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защита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плагиатора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который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не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читая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скачанное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выдает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работу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за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свою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</w:p>
    <w:p w:rsidR="00000000" w:rsidRDefault="00A113A9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Во</w:t>
      </w:r>
      <w:r>
        <w:rPr>
          <w:rFonts w:ascii="Arial" w:eastAsia="Times New Roman" w:hAnsi="Arial" w:cs="Arial"/>
          <w:sz w:val="28"/>
          <w:szCs w:val="28"/>
        </w:rPr>
        <w:t>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так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еще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смешнее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будет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сели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бы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ты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скачал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работу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практике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производства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порно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фильмов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выдав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ее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за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работу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психологии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</w:t>
      </w:r>
      <w:r>
        <w:rPr>
          <w:b/>
          <w:bCs/>
          <w:sz w:val="28"/>
          <w:szCs w:val="28"/>
        </w:rPr>
        <w:t xml:space="preserve"> "</w:t>
      </w:r>
      <w:r>
        <w:rPr>
          <w:b/>
          <w:bCs/>
          <w:sz w:val="28"/>
          <w:szCs w:val="28"/>
        </w:rPr>
        <w:t>Видеофильм</w:t>
      </w:r>
      <w:r>
        <w:rPr>
          <w:b/>
          <w:bCs/>
          <w:sz w:val="28"/>
          <w:szCs w:val="28"/>
        </w:rPr>
        <w:t xml:space="preserve">". </w:t>
      </w:r>
      <w:r>
        <w:rPr>
          <w:b/>
          <w:bCs/>
          <w:sz w:val="28"/>
          <w:szCs w:val="28"/>
        </w:rPr>
        <w:t>Инструкция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психолога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недавно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коллегой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монологе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</w:t>
      </w:r>
      <w:r>
        <w:rPr>
          <w:sz w:val="28"/>
          <w:szCs w:val="28"/>
        </w:rPr>
        <w:t>зносите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обвинительные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избавиться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неприязни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кажется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пороки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знаете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ужасен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монстр</w:t>
      </w:r>
      <w:r>
        <w:rPr>
          <w:sz w:val="28"/>
          <w:szCs w:val="28"/>
        </w:rPr>
        <w:t>!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Остановите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воображение</w:t>
      </w:r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>-</w:t>
      </w:r>
      <w:r>
        <w:rPr>
          <w:sz w:val="28"/>
          <w:szCs w:val="28"/>
        </w:rPr>
        <w:t>монстр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редко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похожа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ужасов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достоинствами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</w:t>
      </w:r>
      <w:r>
        <w:rPr>
          <w:sz w:val="28"/>
          <w:szCs w:val="28"/>
        </w:rPr>
        <w:t>еделенных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избавиться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Представьте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видеофильма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</w:t>
      </w:r>
      <w:r>
        <w:rPr>
          <w:sz w:val="28"/>
          <w:szCs w:val="28"/>
        </w:rPr>
        <w:t>, "</w:t>
      </w:r>
      <w:r>
        <w:rPr>
          <w:sz w:val="28"/>
          <w:szCs w:val="28"/>
        </w:rPr>
        <w:t>отснявший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сцену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Кадр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кадром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просматриваете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сняты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сюжет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началось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Остановите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конфликтовали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вошел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Возобновите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интонацией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Почувствуйте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>
        <w:rPr>
          <w:sz w:val="28"/>
          <w:szCs w:val="28"/>
        </w:rPr>
        <w:t>?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кадре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вошли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поза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сказали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проговорили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чувствовали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вызвало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бурную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партнера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Кадр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кадром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просматриваете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сцену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конца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эпизод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фильма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Нравится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видеопленке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Спокойно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бесстрастно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проанализируйте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Выделите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сделали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смогли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сдержать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остановиться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Преувеличили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перенесли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раздраженное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z w:val="28"/>
          <w:szCs w:val="28"/>
        </w:rPr>
        <w:t>?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просмотра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сцены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подума</w:t>
      </w:r>
      <w:r>
        <w:rPr>
          <w:sz w:val="28"/>
          <w:szCs w:val="28"/>
        </w:rPr>
        <w:t>йте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выбрать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диалоге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гибким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терпеливым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</w:t>
      </w:r>
      <w:r>
        <w:rPr>
          <w:b/>
          <w:bCs/>
          <w:sz w:val="28"/>
          <w:szCs w:val="28"/>
        </w:rPr>
        <w:t xml:space="preserve"> "</w:t>
      </w:r>
      <w:r>
        <w:rPr>
          <w:b/>
          <w:bCs/>
          <w:sz w:val="28"/>
          <w:szCs w:val="28"/>
        </w:rPr>
        <w:t>Глазами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друга</w:t>
      </w:r>
      <w:r>
        <w:rPr>
          <w:b/>
          <w:bCs/>
          <w:sz w:val="28"/>
          <w:szCs w:val="28"/>
        </w:rPr>
        <w:t xml:space="preserve">". </w:t>
      </w:r>
      <w:r>
        <w:rPr>
          <w:b/>
          <w:bCs/>
          <w:sz w:val="28"/>
          <w:szCs w:val="28"/>
        </w:rPr>
        <w:t>Инструкция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психолога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дружеское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прийти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Хорошо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рядом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готовы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откликнуться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нечасто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воспользоваться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доверяете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дорожите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Опишите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последнюю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Попросите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вашем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>вкладе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конфликт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разгорелся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z w:val="28"/>
          <w:szCs w:val="28"/>
        </w:rPr>
        <w:t>?</w:t>
      </w: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Спросите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Ведь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хотите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коллегами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случаи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Обсудите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воображаемым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>.</w:t>
      </w:r>
    </w:p>
    <w:p w:rsidR="00000000" w:rsidRDefault="00A113A9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000000" w:rsidRDefault="00A113A9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A113A9">
      <w:pPr>
        <w:ind w:firstLine="54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00000" w:rsidRDefault="00A113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психотехнических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справ</w:t>
      </w:r>
      <w:r>
        <w:rPr>
          <w:sz w:val="28"/>
          <w:szCs w:val="28"/>
        </w:rPr>
        <w:t>ляться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умело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научиться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ежедневного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семьей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коллегами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ведь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хотим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счастливо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руках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желание</w:t>
      </w:r>
      <w:r>
        <w:rPr>
          <w:sz w:val="28"/>
          <w:szCs w:val="28"/>
        </w:rPr>
        <w:t>.</w:t>
      </w:r>
    </w:p>
    <w:p w:rsidR="00A113A9" w:rsidRDefault="00A113A9">
      <w:pPr>
        <w:rPr>
          <w:rFonts w:ascii="Arial" w:hAnsi="Arial"/>
          <w:sz w:val="28"/>
          <w:szCs w:val="28"/>
        </w:rPr>
      </w:pPr>
    </w:p>
    <w:sectPr w:rsidR="00A113A9">
      <w:headerReference w:type="default" r:id="rId7"/>
      <w:type w:val="continuous"/>
      <w:pgSz w:w="11905" w:h="16837"/>
      <w:pgMar w:top="1693" w:right="1134" w:bottom="1134" w:left="1134" w:header="113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A9" w:rsidRDefault="00A113A9">
      <w:r>
        <w:separator/>
      </w:r>
    </w:p>
  </w:endnote>
  <w:endnote w:type="continuationSeparator" w:id="0">
    <w:p w:rsidR="00A113A9" w:rsidRDefault="00A1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A9" w:rsidRDefault="00A113A9">
      <w:r>
        <w:separator/>
      </w:r>
    </w:p>
  </w:footnote>
  <w:footnote w:type="continuationSeparator" w:id="0">
    <w:p w:rsidR="00A113A9" w:rsidRDefault="00A1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13A9">
    <w:pPr>
      <w:pStyle w:val="a9"/>
      <w:jc w:val="both"/>
    </w:pPr>
    <w:r>
      <w:t xml:space="preserve"> </w:t>
    </w:r>
    <w:r>
      <w:rPr>
        <w:rFonts w:ascii="Arial" w:hAnsi="Arial"/>
        <w:b/>
        <w:sz w:val="16"/>
      </w:rPr>
      <w:t>ПРЕОДОЛЕНИЕ КОНФЛИКТОВ: КОНСТРУКТИВНОЕ ОБЩЕНИЕ</w: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>\page</w:instrText>
    </w:r>
    <w:r w:rsidR="001039D8">
      <w:rPr>
        <w:rFonts w:ascii="Arial" w:hAnsi="Arial"/>
        <w:b/>
        <w:sz w:val="16"/>
      </w:rPr>
      <w:fldChar w:fldCharType="separate"/>
    </w:r>
    <w:r w:rsidR="001039D8">
      <w:rPr>
        <w:rFonts w:ascii="Arial" w:hAnsi="Arial"/>
        <w:b/>
        <w:noProof/>
        <w:sz w:val="16"/>
      </w:rPr>
      <w:t>2</w:t>
    </w:r>
    <w:r>
      <w:rPr>
        <w:rFonts w:ascii="Arial" w:hAnsi="Arial"/>
        <w:b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8"/>
    <w:rsid w:val="001039D8"/>
    <w:rsid w:val="00A1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Arial Unicode MS" w:hAnsi="Times New Roman" w:cs="Tahoma"/>
      <w:sz w:val="24"/>
      <w:szCs w:val="24"/>
      <w:lang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basedOn w:val="a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styleId="a9">
    <w:name w:val="header"/>
    <w:basedOn w:val="a"/>
    <w:link w:val="aa"/>
    <w:uiPriority w:val="99"/>
    <w:pPr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eastAsia="Arial Unicode MS" w:hAnsi="Times New Roman" w:cs="Tahoma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Arial Unicode MS" w:hAnsi="Times New Roman" w:cs="Tahoma"/>
      <w:sz w:val="24"/>
      <w:szCs w:val="24"/>
      <w:lang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basedOn w:val="a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styleId="a9">
    <w:name w:val="header"/>
    <w:basedOn w:val="a"/>
    <w:link w:val="aa"/>
    <w:uiPriority w:val="99"/>
    <w:pPr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eastAsia="Arial Unicode MS" w:hAnsi="Times New Roman" w:cs="Tahoma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Igor</cp:lastModifiedBy>
  <cp:revision>2</cp:revision>
  <cp:lastPrinted>2112-12-31T21:00:00Z</cp:lastPrinted>
  <dcterms:created xsi:type="dcterms:W3CDTF">2024-07-13T06:45:00Z</dcterms:created>
  <dcterms:modified xsi:type="dcterms:W3CDTF">2024-07-13T06:45:00Z</dcterms:modified>
</cp:coreProperties>
</file>