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5D3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Опухоли почки</w:t>
      </w:r>
    </w:p>
    <w:p w:rsidR="00000000" w:rsidRDefault="005D5D3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Какие опухоли почки бывают? </w:t>
      </w:r>
    </w:p>
    <w:p w:rsidR="00000000" w:rsidRDefault="005D5D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среди всех опухолей почек порядка 90-95 процентов приходится на почечно-клеточный рак, который также нередко называют аденокарциномой почки, г</w:t>
      </w:r>
      <w:r>
        <w:rPr>
          <w:color w:val="000000"/>
          <w:sz w:val="24"/>
          <w:szCs w:val="24"/>
        </w:rPr>
        <w:t xml:space="preserve">ипернефромой, опухолью со светлыми клетками. Остальные опухоли – саркомы и опухоль Вильмса встречаются значительно реже. Учитывая преобладание почечно-клеточного рака в структуре опухолей почки, далее речь пойдет именно о нем </w:t>
      </w:r>
    </w:p>
    <w:p w:rsidR="00000000" w:rsidRDefault="005D5D3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Почему возникает рак почки?</w:t>
      </w:r>
    </w:p>
    <w:p w:rsidR="00000000" w:rsidRDefault="005D5D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казать, почему возникает рак почки сложно, сказать, почему возникает рак почки у конкретного больного, невозможно. Существовали данные о том, что людей, занятых в производстве анилиновых красителей рак почки встречался гораздо чаще. В связи с этим некоторы</w:t>
      </w:r>
      <w:r>
        <w:rPr>
          <w:color w:val="000000"/>
          <w:sz w:val="24"/>
          <w:szCs w:val="24"/>
        </w:rPr>
        <w:t>е канцерогены, образующиеся в производстве анилиновых красителей, обвиняли в канцерогенном эффекте в отношении почки. Эти же канцерогены обвиняют в причастности к возникновению рака мочевого пузыря. Повышенный риск заболевания отмечается у пациентов с боле</w:t>
      </w:r>
      <w:r>
        <w:rPr>
          <w:color w:val="000000"/>
          <w:sz w:val="24"/>
          <w:szCs w:val="24"/>
        </w:rPr>
        <w:t xml:space="preserve">знью Хиппеля-Линдау, подковообразными почками, поликистозом и приобретенными кистами, которые сопровождаются повышенным содержанием в крови азотистых веществ (уремия). Последнее состояние является результатом недостаточной функции почек. </w:t>
      </w:r>
    </w:p>
    <w:p w:rsidR="00000000" w:rsidRDefault="005D5D3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 рака поч</w:t>
      </w:r>
      <w:r>
        <w:rPr>
          <w:b/>
          <w:bCs/>
          <w:color w:val="000000"/>
          <w:sz w:val="28"/>
          <w:szCs w:val="28"/>
        </w:rPr>
        <w:t xml:space="preserve">ки </w:t>
      </w:r>
    </w:p>
    <w:p w:rsidR="00000000" w:rsidRDefault="005D5D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три симптома рака почки, по поводу которых обычно пациенты обращаются к врачу – гематурия, образование в животе и боль. Гематурия дословно переводится с латинского языка как "кровь в моче". Различают микрогематурию и макрогематурию. При микр</w:t>
      </w:r>
      <w:r>
        <w:rPr>
          <w:color w:val="000000"/>
          <w:sz w:val="24"/>
          <w:szCs w:val="24"/>
        </w:rPr>
        <w:t>огематурии элементы крови в моче можно разглядеть только под микроскопом. Естественно выполняется данное исследование в лаборатории. Моча при этом остается обыкновенного цвета. При макрогематурии моча приобретает красный цвет за счет крови. При том заметит</w:t>
      </w:r>
      <w:r>
        <w:rPr>
          <w:color w:val="000000"/>
          <w:sz w:val="24"/>
          <w:szCs w:val="24"/>
        </w:rPr>
        <w:t>ь это можно без микроскопа. Чаще всего гематурия появляется на фоне полного здоровья, при этом, что характерно для рака почки, чаще всего гематурия не сопровождается болями (это в большей степени характерно для почечной колики при мочекаменной болезни). По</w:t>
      </w:r>
      <w:r>
        <w:rPr>
          <w:color w:val="000000"/>
          <w:sz w:val="24"/>
          <w:szCs w:val="24"/>
        </w:rPr>
        <w:t>сле своего появления гематурия может быстро исчезать. При этом повторяться она может совершенно через различные сроки – через несколько дней, месяцев, а иногда и через год или два. Возникает кровотечение вследствие роста опухоли, которая разрушает ткань по</w:t>
      </w:r>
      <w:r>
        <w:rPr>
          <w:color w:val="000000"/>
          <w:sz w:val="24"/>
          <w:szCs w:val="24"/>
        </w:rPr>
        <w:t xml:space="preserve">чки, богатой кровеносными сосудами. Из них и изливается кровь. Кровь может сворачиваться в сгустки, которые в свою очередь могут вызывать почечную колику, схожую с той, что возникает при мочекаменной болезни. </w:t>
      </w:r>
    </w:p>
    <w:p w:rsidR="00000000" w:rsidRDefault="005D5D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Опухоль постепенно увеличивается в размерах, ч</w:t>
      </w:r>
      <w:r>
        <w:rPr>
          <w:color w:val="000000"/>
          <w:sz w:val="24"/>
          <w:szCs w:val="24"/>
        </w:rPr>
        <w:t>то приводит к появлению второго симптома – появления некого новообразования в животе. Почка вместе с опухолью могут пальпироваться через живот. Нередко худощавые пациенты замечают собственную почку на ранних стадиях. Чаще же всего факт обнаружения почки пр</w:t>
      </w:r>
      <w:r>
        <w:rPr>
          <w:color w:val="000000"/>
          <w:sz w:val="24"/>
          <w:szCs w:val="24"/>
        </w:rPr>
        <w:t xml:space="preserve">и осмотре живота не говорит о ранней стадии опухоли. </w:t>
      </w:r>
    </w:p>
    <w:p w:rsidR="00000000" w:rsidRDefault="005D5D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отсутствии лечения опухоль выходит за пределы капсулы почки и прорастает в соседние структуры – жировую клетчатку, кровеносные сосуды. В результате сдавления нервных окончаний может появляться боль.</w:t>
      </w:r>
      <w:r>
        <w:rPr>
          <w:color w:val="000000"/>
          <w:sz w:val="24"/>
          <w:szCs w:val="24"/>
        </w:rPr>
        <w:t xml:space="preserve"> Лишь в 10-15 процентах случаев боль появляется при ранних формах рака почки. В большинстве случаев боль говорит о распространенной опухоли. Опухоль прорастает близлежащие сосуды, вследствие чего может нарушаться ток венозной крови по магистральному венозн</w:t>
      </w:r>
      <w:r>
        <w:rPr>
          <w:color w:val="000000"/>
          <w:sz w:val="24"/>
          <w:szCs w:val="24"/>
        </w:rPr>
        <w:t xml:space="preserve">ому сосуду брюшной полости – нижней полой вены. У мужчин такое нарушение может приводить к возникновению варикоцеле – расширению вен семенного канатика. </w:t>
      </w:r>
    </w:p>
    <w:p w:rsidR="00000000" w:rsidRDefault="005D5D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Боль может быть следствием метастазирования опухоли – появления новых очагов роста в други органах. Ра</w:t>
      </w:r>
      <w:r>
        <w:rPr>
          <w:color w:val="000000"/>
          <w:sz w:val="24"/>
          <w:szCs w:val="24"/>
        </w:rPr>
        <w:t xml:space="preserve">к почки метастазирует практически во все органы и ткани. Наиболее часто метастазы обнаруживают в легких, печени, костях. </w:t>
      </w:r>
    </w:p>
    <w:p w:rsidR="00000000" w:rsidRDefault="005D5D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Иногда рак почки может проявляться необычными симптомами. Так опухоль может продуцировать гормоны или биологически активные вещества. </w:t>
      </w:r>
      <w:r>
        <w:rPr>
          <w:color w:val="000000"/>
          <w:sz w:val="24"/>
          <w:szCs w:val="24"/>
        </w:rPr>
        <w:t xml:space="preserve">Вследствие этого может развиваться значительное увеличение количества эритроцитов в крови, значительное повышение уровня кальция в крови, повышение артериального давления, нарушение функции печени и др. </w:t>
      </w:r>
    </w:p>
    <w:p w:rsidR="00000000" w:rsidRDefault="005D5D3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Диагностика</w:t>
      </w:r>
    </w:p>
    <w:p w:rsidR="00000000" w:rsidRDefault="005D5D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Диагностика основывается, конечно же, на</w:t>
      </w:r>
      <w:r>
        <w:rPr>
          <w:color w:val="000000"/>
          <w:sz w:val="24"/>
          <w:szCs w:val="24"/>
        </w:rPr>
        <w:t xml:space="preserve"> жалобах больного, а также на данных осмотра и общеклинических методов исследования (клинический анализ крови, клинический анализ мочи и др.). В настоящее время основными методами инструментальной диагностики рака почки является ультразвуковое исследование</w:t>
      </w:r>
      <w:r>
        <w:rPr>
          <w:color w:val="000000"/>
          <w:sz w:val="24"/>
          <w:szCs w:val="24"/>
        </w:rPr>
        <w:t xml:space="preserve"> органов брюшной полости, урография (рентгеновское исследование почек с помощью контрастных веществ), радионуклидное сканирование, а также компьютерная томография и магнитно-резонансная томография. Последние два метода позволяют достаточно точно установить</w:t>
      </w:r>
      <w:r>
        <w:rPr>
          <w:color w:val="000000"/>
          <w:sz w:val="24"/>
          <w:szCs w:val="24"/>
        </w:rPr>
        <w:t xml:space="preserve"> распространенность опухоли. Обязательным в обследовании пациента с подозрением на рак почки является рентгенография легких, а также рентгенография костей таза и грудной клетки. При подозрении на метастатическое поражение костей необходимо проведение радио</w:t>
      </w:r>
      <w:r>
        <w:rPr>
          <w:color w:val="000000"/>
          <w:sz w:val="24"/>
          <w:szCs w:val="24"/>
        </w:rPr>
        <w:t xml:space="preserve">нуклидного сканирования костей, которое позволяет уточнить присутствие метастазов в костях. </w:t>
      </w:r>
    </w:p>
    <w:p w:rsidR="00000000" w:rsidRDefault="005D5D3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000000" w:rsidRDefault="005D5D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 методом лечения рака почки является хирургический. Оперативное вмешательство практически во всех случаях, когда это возможно. Во время операции пр</w:t>
      </w:r>
      <w:r>
        <w:rPr>
          <w:color w:val="000000"/>
          <w:sz w:val="24"/>
          <w:szCs w:val="24"/>
        </w:rPr>
        <w:t>оизводится удаление почки, а также жировой клетчатки, которая ее окружает и мочеточника (радикальная нефрэктомия). В настоящее время разработаны и органосохраняющие операции при раке почки. Они проводятся при ранних стадиях опухоли в случаях, когда невозмо</w:t>
      </w:r>
      <w:r>
        <w:rPr>
          <w:color w:val="000000"/>
          <w:sz w:val="24"/>
          <w:szCs w:val="24"/>
        </w:rPr>
        <w:t>жно пациенту удалить почку. При этом речь не идет о распространенности процесса. Речь идет о тех случаях, когда оставшаяся почка не может взять на себя все функции по выделению продуктов метаболизма из организма. Такие операции предполагают удаление только</w:t>
      </w:r>
      <w:r>
        <w:rPr>
          <w:color w:val="000000"/>
          <w:sz w:val="24"/>
          <w:szCs w:val="24"/>
        </w:rPr>
        <w:t xml:space="preserve"> части почки. Как показывают научные исследования, отдаленные результаты таких операций мало отличаются от операций по удалению почки (нефрэктомии). Однако после проведения органосохраняющих операций существует более высокий риск развития местного рецидива</w:t>
      </w:r>
      <w:r>
        <w:rPr>
          <w:color w:val="000000"/>
          <w:sz w:val="24"/>
          <w:szCs w:val="24"/>
        </w:rPr>
        <w:t xml:space="preserve">. </w:t>
      </w:r>
    </w:p>
    <w:p w:rsidR="00000000" w:rsidRDefault="005D5D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Пятилетняя выживаемость у больных после радикальной нефрэктомии при первой стадии составляет 70-80 процентов. Если опухоль поражает нижнюю полую вену, то после операции 5 и более лет проживают 40-50 процентов больных (2 стадия). При вовлечении в процесс</w:t>
      </w:r>
      <w:r>
        <w:rPr>
          <w:color w:val="000000"/>
          <w:sz w:val="24"/>
          <w:szCs w:val="24"/>
        </w:rPr>
        <w:t xml:space="preserve"> почечной вены (2 стадия) пятилетняя выживаемость составляет 50-60 процентов. Если в процесс была вовлечена жировая клетчатка, окружающая почку (3 стадия), выживаемость составляет 70-80 процентов. При поражении регионарных лимфоузлов (3-4 стадия) 5-летняя </w:t>
      </w:r>
      <w:r>
        <w:rPr>
          <w:color w:val="000000"/>
          <w:sz w:val="24"/>
          <w:szCs w:val="24"/>
        </w:rPr>
        <w:t xml:space="preserve">выживаемость составляет от 5 до 20 процентов. При наличии прорастания опухоли в соседние органы или наличии отдаленных метастазов 5 летняя выживаемость составляет не более 5 процентов. </w:t>
      </w:r>
    </w:p>
    <w:p w:rsidR="00000000" w:rsidRDefault="005D5D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большинство ученых признают целесообразным проведени</w:t>
      </w:r>
      <w:r>
        <w:rPr>
          <w:color w:val="000000"/>
          <w:sz w:val="24"/>
          <w:szCs w:val="24"/>
        </w:rPr>
        <w:t xml:space="preserve">е операции при одиночных отдаленных метастазах рака почки. Как показывают результаты исследований, такие операции улучшают качество жизни больного и продлевают его жизнь. </w:t>
      </w:r>
    </w:p>
    <w:p w:rsidR="00000000" w:rsidRDefault="005D5D3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5D5D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А.Я. Пытель, Н.А. Лопаткин. Урология, Москва, Медицина, 1970г. </w:t>
      </w:r>
    </w:p>
    <w:p w:rsidR="005D5D33" w:rsidRDefault="005D5D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Ма</w:t>
      </w:r>
      <w:r>
        <w:rPr>
          <w:color w:val="000000"/>
          <w:sz w:val="24"/>
          <w:szCs w:val="24"/>
        </w:rPr>
        <w:t xml:space="preserve">ртин И. Резник, Эндрю К. Новик. Секреты урологии. Бином, Москва, 1998 год. </w:t>
      </w:r>
    </w:p>
    <w:sectPr w:rsidR="005D5D3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64E"/>
    <w:multiLevelType w:val="hybridMultilevel"/>
    <w:tmpl w:val="D2827C7E"/>
    <w:lvl w:ilvl="0" w:tplc="7518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E844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E00D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4A5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64B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632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A46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023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AC90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021AE6"/>
    <w:multiLevelType w:val="hybridMultilevel"/>
    <w:tmpl w:val="5DC0ED78"/>
    <w:lvl w:ilvl="0" w:tplc="D6FC1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03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ECD7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1A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C28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D062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BADD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A12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C67F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07878"/>
    <w:multiLevelType w:val="hybridMultilevel"/>
    <w:tmpl w:val="BD8EA448"/>
    <w:lvl w:ilvl="0" w:tplc="0CF8F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3CB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025B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786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04D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724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BE9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E3B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6052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74"/>
    <w:rsid w:val="005D5D33"/>
    <w:rsid w:val="00C9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rFonts w:ascii="Verdana" w:hAnsi="Verdana" w:cs="Verdana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Verdana" w:hAnsi="Verdana" w:cs="Verdana"/>
      <w:b/>
      <w:bCs/>
      <w:sz w:val="18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jus">
    <w:name w:val="jus"/>
    <w:basedOn w:val="a"/>
    <w:uiPriority w:val="99"/>
    <w:pPr>
      <w:spacing w:before="75" w:after="75"/>
      <w:jc w:val="both"/>
    </w:pPr>
    <w:rPr>
      <w:rFonts w:ascii="Verdana" w:hAnsi="Verdana" w:cs="Verdana"/>
      <w:color w:val="000000"/>
      <w:sz w:val="17"/>
      <w:szCs w:val="17"/>
    </w:rPr>
  </w:style>
  <w:style w:type="paragraph" w:styleId="a3">
    <w:name w:val="Normal (Web)"/>
    <w:basedOn w:val="a"/>
    <w:uiPriority w:val="99"/>
    <w:pPr>
      <w:spacing w:before="75" w:after="75"/>
      <w:jc w:val="both"/>
    </w:pPr>
    <w:rPr>
      <w:rFonts w:ascii="Verdana" w:hAnsi="Verdana" w:cs="Verdana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rFonts w:ascii="Verdana" w:hAnsi="Verdana" w:cs="Verdana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Verdana" w:hAnsi="Verdana" w:cs="Verdana"/>
      <w:b/>
      <w:bCs/>
      <w:sz w:val="18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jus">
    <w:name w:val="jus"/>
    <w:basedOn w:val="a"/>
    <w:uiPriority w:val="99"/>
    <w:pPr>
      <w:spacing w:before="75" w:after="75"/>
      <w:jc w:val="both"/>
    </w:pPr>
    <w:rPr>
      <w:rFonts w:ascii="Verdana" w:hAnsi="Verdana" w:cs="Verdana"/>
      <w:color w:val="000000"/>
      <w:sz w:val="17"/>
      <w:szCs w:val="17"/>
    </w:rPr>
  </w:style>
  <w:style w:type="paragraph" w:styleId="a3">
    <w:name w:val="Normal (Web)"/>
    <w:basedOn w:val="a"/>
    <w:uiPriority w:val="99"/>
    <w:pPr>
      <w:spacing w:before="75" w:after="75"/>
      <w:jc w:val="both"/>
    </w:pPr>
    <w:rPr>
      <w:rFonts w:ascii="Verdana" w:hAnsi="Verdana" w:cs="Verdana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5900</Characters>
  <Application>Microsoft Office Word</Application>
  <DocSecurity>0</DocSecurity>
  <Lines>49</Lines>
  <Paragraphs>13</Paragraphs>
  <ScaleCrop>false</ScaleCrop>
  <Company>PERSONAL COMPUTERS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Опухоли почки</dc:title>
  <dc:creator>USER</dc:creator>
  <cp:lastModifiedBy>Igor</cp:lastModifiedBy>
  <cp:revision>2</cp:revision>
  <dcterms:created xsi:type="dcterms:W3CDTF">2024-07-21T15:09:00Z</dcterms:created>
  <dcterms:modified xsi:type="dcterms:W3CDTF">2024-07-21T15:09:00Z</dcterms:modified>
</cp:coreProperties>
</file>