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332E8" w14:textId="77777777" w:rsidR="008B1C31" w:rsidRDefault="008B1C31" w:rsidP="00707BFB">
      <w:pPr>
        <w:pStyle w:val="1"/>
        <w:widowControl w:val="0"/>
        <w:ind w:left="0" w:right="0"/>
        <w:rPr>
          <w:i/>
          <w:iCs/>
        </w:rPr>
      </w:pPr>
      <w:r>
        <w:rPr>
          <w:i/>
          <w:iCs/>
        </w:rPr>
        <w:t>На правах рукописи</w:t>
      </w:r>
    </w:p>
    <w:p w14:paraId="5E04D2D5" w14:textId="77777777" w:rsidR="008B1C31" w:rsidRDefault="008B1C31" w:rsidP="00707BFB">
      <w:pPr>
        <w:pStyle w:val="5"/>
        <w:widowControl w:val="0"/>
        <w:jc w:val="right"/>
      </w:pPr>
      <w:r>
        <w:t>УДК (616.12 – 008.331.1 + 616.379 – 008.64): 615.225.2</w:t>
      </w:r>
    </w:p>
    <w:p w14:paraId="7A192C70" w14:textId="77777777" w:rsidR="008B1C31" w:rsidRDefault="008B1C31" w:rsidP="00707BFB">
      <w:pPr>
        <w:keepNext/>
        <w:widowControl w:val="0"/>
        <w:spacing w:line="480" w:lineRule="auto"/>
        <w:jc w:val="right"/>
        <w:rPr>
          <w:sz w:val="28"/>
          <w:szCs w:val="28"/>
        </w:rPr>
      </w:pPr>
    </w:p>
    <w:p w14:paraId="32CAB694" w14:textId="77777777" w:rsidR="008B1C31" w:rsidRDefault="008B1C31" w:rsidP="00707BFB">
      <w:pPr>
        <w:keepNext/>
        <w:widowControl w:val="0"/>
        <w:spacing w:line="480" w:lineRule="auto"/>
        <w:jc w:val="center"/>
        <w:rPr>
          <w:b/>
          <w:bCs/>
          <w:sz w:val="28"/>
          <w:szCs w:val="28"/>
        </w:rPr>
      </w:pPr>
    </w:p>
    <w:p w14:paraId="25CB2934" w14:textId="77777777" w:rsidR="008B1C31" w:rsidRDefault="008B1C31" w:rsidP="00707BFB">
      <w:pPr>
        <w:keepNext/>
        <w:widowControl w:val="0"/>
        <w:spacing w:line="480" w:lineRule="auto"/>
        <w:jc w:val="center"/>
        <w:rPr>
          <w:b/>
          <w:bCs/>
          <w:sz w:val="28"/>
          <w:szCs w:val="28"/>
        </w:rPr>
      </w:pPr>
    </w:p>
    <w:p w14:paraId="7DF876C5" w14:textId="77777777" w:rsidR="008B1C31" w:rsidRDefault="008B1C31" w:rsidP="00707BFB">
      <w:pPr>
        <w:keepNext/>
        <w:widowControl w:val="0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ХРУЛЕНКО СВЕТЛАНА БОРИСОВНА</w:t>
      </w:r>
    </w:p>
    <w:p w14:paraId="3FF15D53" w14:textId="77777777" w:rsidR="008B1C31" w:rsidRDefault="008B1C31" w:rsidP="00707BFB">
      <w:pPr>
        <w:keepNext/>
        <w:widowControl w:val="0"/>
        <w:spacing w:line="480" w:lineRule="auto"/>
        <w:jc w:val="center"/>
        <w:rPr>
          <w:b/>
          <w:bCs/>
          <w:sz w:val="28"/>
          <w:szCs w:val="28"/>
        </w:rPr>
      </w:pPr>
    </w:p>
    <w:p w14:paraId="29961970" w14:textId="77777777" w:rsidR="008B1C31" w:rsidRDefault="008B1C31" w:rsidP="00707BFB">
      <w:pPr>
        <w:keepNext/>
        <w:widowControl w:val="0"/>
        <w:spacing w:line="480" w:lineRule="auto"/>
        <w:jc w:val="center"/>
        <w:rPr>
          <w:b/>
          <w:bCs/>
          <w:sz w:val="28"/>
          <w:szCs w:val="28"/>
        </w:rPr>
      </w:pPr>
    </w:p>
    <w:p w14:paraId="7E5AA0D2" w14:textId="77777777" w:rsidR="008B1C31" w:rsidRDefault="008B1C31" w:rsidP="00707BFB">
      <w:pPr>
        <w:pStyle w:val="8"/>
        <w:widowControl w:val="0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ОСОБЕННОСТИ ТЕЧЕНИЯ И ЛЕЧЕНИЯ АРТЕРИАЛЬНОЙ</w:t>
      </w:r>
    </w:p>
    <w:p w14:paraId="75D88EE6" w14:textId="77777777" w:rsidR="008B1C31" w:rsidRDefault="008B1C31" w:rsidP="00707BFB">
      <w:pPr>
        <w:pStyle w:val="3"/>
        <w:widowControl w:val="0"/>
        <w:spacing w:line="360" w:lineRule="auto"/>
      </w:pPr>
      <w:r>
        <w:t>ГИПЕРТОНИИ С МЕТАБОЛИЧЕСКИМИ НАРУШЕНИЯМИ</w:t>
      </w:r>
    </w:p>
    <w:p w14:paraId="0FEEFC14" w14:textId="77777777" w:rsidR="008B1C31" w:rsidRDefault="008B1C31" w:rsidP="00707BFB">
      <w:pPr>
        <w:keepNext/>
        <w:widowControl w:val="0"/>
        <w:spacing w:line="360" w:lineRule="auto"/>
        <w:jc w:val="center"/>
        <w:rPr>
          <w:b/>
          <w:bCs/>
          <w:sz w:val="30"/>
          <w:szCs w:val="30"/>
        </w:rPr>
      </w:pPr>
    </w:p>
    <w:p w14:paraId="5E493BBE" w14:textId="77777777" w:rsidR="008B1C31" w:rsidRDefault="008B1C31" w:rsidP="00707BFB">
      <w:pPr>
        <w:keepNext/>
        <w:widowControl w:val="0"/>
        <w:spacing w:line="480" w:lineRule="auto"/>
        <w:jc w:val="center"/>
        <w:rPr>
          <w:b/>
          <w:bCs/>
          <w:sz w:val="32"/>
          <w:szCs w:val="32"/>
        </w:rPr>
      </w:pPr>
    </w:p>
    <w:p w14:paraId="3A85D5DE" w14:textId="77777777" w:rsidR="008B1C31" w:rsidRDefault="008B1C31" w:rsidP="00707BFB">
      <w:pPr>
        <w:keepNext/>
        <w:widowControl w:val="0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14.00.06 - Кардиология</w:t>
      </w:r>
    </w:p>
    <w:p w14:paraId="3B6A8A6D" w14:textId="77777777" w:rsidR="008B1C31" w:rsidRDefault="008B1C31" w:rsidP="00707BFB">
      <w:pPr>
        <w:keepNext/>
        <w:widowControl w:val="0"/>
        <w:spacing w:line="480" w:lineRule="auto"/>
        <w:jc w:val="center"/>
        <w:rPr>
          <w:sz w:val="28"/>
          <w:szCs w:val="28"/>
        </w:rPr>
      </w:pPr>
    </w:p>
    <w:p w14:paraId="014D5D34" w14:textId="77777777" w:rsidR="008B1C31" w:rsidRDefault="008B1C31" w:rsidP="00707BFB">
      <w:pPr>
        <w:pStyle w:val="4"/>
        <w:widowControl w:val="0"/>
        <w:ind w:left="0" w:right="0"/>
        <w:rPr>
          <w:sz w:val="36"/>
          <w:szCs w:val="36"/>
        </w:rPr>
      </w:pPr>
      <w:r>
        <w:rPr>
          <w:sz w:val="36"/>
          <w:szCs w:val="36"/>
        </w:rPr>
        <w:t>Автореферат</w:t>
      </w:r>
    </w:p>
    <w:p w14:paraId="0FFD530F" w14:textId="77777777" w:rsidR="008B1C31" w:rsidRDefault="008B1C31" w:rsidP="00707BFB">
      <w:pPr>
        <w:keepNext/>
        <w:widowControl w:val="0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диссертации на соискание ученой степени</w:t>
      </w:r>
    </w:p>
    <w:p w14:paraId="04681EA7" w14:textId="77777777" w:rsidR="008B1C31" w:rsidRDefault="008B1C31" w:rsidP="00707BFB">
      <w:pPr>
        <w:keepNext/>
        <w:widowControl w:val="0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кандидата медицинских наук</w:t>
      </w:r>
    </w:p>
    <w:p w14:paraId="296C8E20" w14:textId="77777777" w:rsidR="008B1C31" w:rsidRDefault="008B1C31" w:rsidP="00707BFB">
      <w:pPr>
        <w:keepNext/>
        <w:widowControl w:val="0"/>
        <w:spacing w:line="480" w:lineRule="auto"/>
        <w:jc w:val="center"/>
        <w:rPr>
          <w:sz w:val="28"/>
          <w:szCs w:val="28"/>
        </w:rPr>
      </w:pPr>
    </w:p>
    <w:p w14:paraId="44952C37" w14:textId="77777777" w:rsidR="008B1C31" w:rsidRDefault="008B1C31" w:rsidP="00707BFB">
      <w:pPr>
        <w:keepNext/>
        <w:widowControl w:val="0"/>
        <w:spacing w:line="480" w:lineRule="auto"/>
        <w:jc w:val="center"/>
        <w:rPr>
          <w:sz w:val="28"/>
          <w:szCs w:val="28"/>
        </w:rPr>
      </w:pPr>
    </w:p>
    <w:p w14:paraId="29CE2039" w14:textId="77777777" w:rsidR="008B1C31" w:rsidRDefault="008B1C31" w:rsidP="00707BFB">
      <w:pPr>
        <w:keepNext/>
        <w:widowControl w:val="0"/>
        <w:spacing w:line="480" w:lineRule="auto"/>
        <w:jc w:val="center"/>
        <w:rPr>
          <w:sz w:val="28"/>
          <w:szCs w:val="28"/>
        </w:rPr>
      </w:pPr>
    </w:p>
    <w:p w14:paraId="63B6EB98" w14:textId="77777777" w:rsidR="008B1C31" w:rsidRDefault="008B1C31" w:rsidP="00707BFB">
      <w:pPr>
        <w:pStyle w:val="6"/>
        <w:widowControl w:val="0"/>
        <w:ind w:right="0"/>
      </w:pPr>
      <w:r>
        <w:t>Москва — 2001</w:t>
      </w:r>
    </w:p>
    <w:p w14:paraId="7B790B98" w14:textId="77777777" w:rsidR="008B1C31" w:rsidRDefault="008B1C31" w:rsidP="00707BFB"/>
    <w:p w14:paraId="6DBEBD34" w14:textId="77777777" w:rsidR="008B1C31" w:rsidRDefault="008B1C31" w:rsidP="00707BFB">
      <w:pPr>
        <w:pStyle w:val="a5"/>
        <w:keepNext/>
        <w:pageBreakBefore w:val="0"/>
        <w:widowControl w:val="0"/>
        <w:ind w:left="0" w:right="0"/>
        <w:rPr>
          <w:spacing w:val="40"/>
          <w:sz w:val="26"/>
          <w:szCs w:val="26"/>
        </w:rPr>
      </w:pPr>
      <w:r>
        <w:rPr>
          <w:spacing w:val="40"/>
          <w:sz w:val="26"/>
          <w:szCs w:val="26"/>
        </w:rPr>
        <w:lastRenderedPageBreak/>
        <w:t>Работа выполнена в Московском Государственном</w:t>
      </w:r>
    </w:p>
    <w:p w14:paraId="496D5ED0" w14:textId="77777777" w:rsidR="008B1C31" w:rsidRDefault="008B1C31" w:rsidP="00707BFB">
      <w:pPr>
        <w:pStyle w:val="a5"/>
        <w:keepNext/>
        <w:pageBreakBefore w:val="0"/>
        <w:widowControl w:val="0"/>
        <w:ind w:left="0" w:right="0"/>
        <w:rPr>
          <w:spacing w:val="40"/>
          <w:sz w:val="26"/>
          <w:szCs w:val="26"/>
        </w:rPr>
      </w:pPr>
      <w:r>
        <w:rPr>
          <w:spacing w:val="40"/>
          <w:sz w:val="26"/>
          <w:szCs w:val="26"/>
        </w:rPr>
        <w:t>медико-стоматологическом университете.</w:t>
      </w:r>
    </w:p>
    <w:p w14:paraId="03DB3333" w14:textId="77777777" w:rsidR="008B1C31" w:rsidRDefault="008B1C31" w:rsidP="00707BFB">
      <w:pPr>
        <w:keepNext/>
        <w:widowControl w:val="0"/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1"/>
        <w:gridCol w:w="4811"/>
      </w:tblGrid>
      <w:tr w:rsidR="008B1C31" w14:paraId="73AFF5A1" w14:textId="77777777">
        <w:tblPrEx>
          <w:tblCellMar>
            <w:top w:w="0" w:type="dxa"/>
            <w:bottom w:w="0" w:type="dxa"/>
          </w:tblCellMar>
        </w:tblPrEx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14:paraId="0B47D2A5" w14:textId="77777777" w:rsidR="008B1C31" w:rsidRDefault="008B1C31" w:rsidP="00707BFB">
            <w:pPr>
              <w:keepNext/>
              <w:widowControl w:val="0"/>
              <w:spacing w:line="360" w:lineRule="auto"/>
              <w:jc w:val="center"/>
              <w:rPr>
                <w:spacing w:val="40"/>
                <w:sz w:val="26"/>
                <w:szCs w:val="26"/>
              </w:rPr>
            </w:pPr>
            <w:r>
              <w:rPr>
                <w:spacing w:val="40"/>
                <w:sz w:val="26"/>
                <w:szCs w:val="26"/>
              </w:rPr>
              <w:t>Научный руководитель: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14:paraId="5D68B05F" w14:textId="77777777" w:rsidR="008B1C31" w:rsidRDefault="008B1C31" w:rsidP="00707BFB">
            <w:pPr>
              <w:pStyle w:val="7"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Заслуженный деятель науки РФ</w:t>
            </w:r>
          </w:p>
          <w:p w14:paraId="144321B4" w14:textId="77777777" w:rsidR="008B1C31" w:rsidRDefault="008B1C31" w:rsidP="00707BFB">
            <w:pPr>
              <w:keepNext/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Доктор медицинских наук</w:t>
            </w:r>
          </w:p>
          <w:p w14:paraId="6E70AD29" w14:textId="77777777" w:rsidR="008B1C31" w:rsidRDefault="008B1C31" w:rsidP="00707BFB">
            <w:pPr>
              <w:keepNext/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профессор </w:t>
            </w:r>
            <w:r>
              <w:rPr>
                <w:b/>
                <w:bCs/>
                <w:spacing w:val="40"/>
                <w:sz w:val="26"/>
                <w:szCs w:val="26"/>
              </w:rPr>
              <w:t>В.С. Задионче</w:t>
            </w:r>
            <w:r>
              <w:rPr>
                <w:b/>
                <w:bCs/>
                <w:spacing w:val="40"/>
                <w:sz w:val="26"/>
                <w:szCs w:val="26"/>
              </w:rPr>
              <w:t>н</w:t>
            </w:r>
            <w:r>
              <w:rPr>
                <w:b/>
                <w:bCs/>
                <w:spacing w:val="40"/>
                <w:sz w:val="26"/>
                <w:szCs w:val="26"/>
              </w:rPr>
              <w:t>ко</w:t>
            </w:r>
          </w:p>
        </w:tc>
      </w:tr>
    </w:tbl>
    <w:p w14:paraId="406F0585" w14:textId="77777777" w:rsidR="008B1C31" w:rsidRDefault="008B1C31" w:rsidP="00707BFB">
      <w:pPr>
        <w:keepNext/>
        <w:widowControl w:val="0"/>
        <w:spacing w:line="360" w:lineRule="auto"/>
        <w:jc w:val="both"/>
        <w:rPr>
          <w:sz w:val="26"/>
          <w:szCs w:val="26"/>
        </w:rPr>
      </w:pPr>
    </w:p>
    <w:p w14:paraId="7E3385AC" w14:textId="77777777" w:rsidR="008B1C31" w:rsidRDefault="008B1C31" w:rsidP="00707BFB">
      <w:pPr>
        <w:keepNext/>
        <w:widowControl w:val="0"/>
        <w:spacing w:line="360" w:lineRule="auto"/>
        <w:jc w:val="both"/>
        <w:rPr>
          <w:spacing w:val="40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40"/>
          <w:sz w:val="26"/>
          <w:szCs w:val="26"/>
        </w:rPr>
        <w:t>Официальные оппоненты:</w:t>
      </w:r>
    </w:p>
    <w:p w14:paraId="199C06D5" w14:textId="77777777" w:rsidR="008B1C31" w:rsidRDefault="008B1C31" w:rsidP="00707BFB">
      <w:pPr>
        <w:keepNext/>
        <w:widowControl w:val="0"/>
        <w:numPr>
          <w:ilvl w:val="0"/>
          <w:numId w:val="2"/>
        </w:numPr>
        <w:tabs>
          <w:tab w:val="clear" w:pos="360"/>
          <w:tab w:val="num" w:pos="1494"/>
        </w:tabs>
        <w:spacing w:line="360" w:lineRule="auto"/>
        <w:ind w:left="0" w:firstLine="0"/>
        <w:jc w:val="both"/>
        <w:rPr>
          <w:b/>
          <w:bCs/>
          <w:spacing w:val="40"/>
          <w:sz w:val="26"/>
          <w:szCs w:val="26"/>
        </w:rPr>
      </w:pPr>
      <w:r>
        <w:rPr>
          <w:sz w:val="26"/>
          <w:szCs w:val="26"/>
        </w:rPr>
        <w:t>Заслуженный деятель науки РФ,</w:t>
      </w:r>
    </w:p>
    <w:p w14:paraId="11BEC9DC" w14:textId="77777777" w:rsidR="008B1C31" w:rsidRDefault="008B1C31" w:rsidP="00707BFB">
      <w:pPr>
        <w:keepNext/>
        <w:widowControl w:val="0"/>
        <w:spacing w:line="360" w:lineRule="auto"/>
        <w:jc w:val="both"/>
        <w:rPr>
          <w:b/>
          <w:bCs/>
          <w:spacing w:val="40"/>
          <w:sz w:val="26"/>
          <w:szCs w:val="26"/>
        </w:rPr>
      </w:pPr>
      <w:r>
        <w:rPr>
          <w:sz w:val="26"/>
          <w:szCs w:val="26"/>
        </w:rPr>
        <w:t xml:space="preserve">                        Доктор медицинских наук, профессор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pacing w:val="40"/>
          <w:sz w:val="26"/>
          <w:szCs w:val="26"/>
        </w:rPr>
        <w:t>Б.А. Сидоренко</w:t>
      </w:r>
    </w:p>
    <w:p w14:paraId="5F52C467" w14:textId="77777777" w:rsidR="008B1C31" w:rsidRDefault="008B1C31" w:rsidP="00707BFB">
      <w:pPr>
        <w:keepNext/>
        <w:widowControl w:val="0"/>
        <w:numPr>
          <w:ilvl w:val="0"/>
          <w:numId w:val="2"/>
        </w:numPr>
        <w:tabs>
          <w:tab w:val="clear" w:pos="360"/>
          <w:tab w:val="num" w:pos="1494"/>
        </w:tabs>
        <w:spacing w:line="360" w:lineRule="auto"/>
        <w:ind w:left="0" w:firstLine="0"/>
        <w:jc w:val="both"/>
        <w:rPr>
          <w:b/>
          <w:bCs/>
          <w:spacing w:val="40"/>
          <w:sz w:val="26"/>
          <w:szCs w:val="26"/>
        </w:rPr>
      </w:pPr>
      <w:r>
        <w:rPr>
          <w:sz w:val="26"/>
          <w:szCs w:val="26"/>
        </w:rPr>
        <w:t>Доктор медицинских наук, профессор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pacing w:val="40"/>
          <w:sz w:val="26"/>
          <w:szCs w:val="26"/>
        </w:rPr>
        <w:t>М.Г. Глезер</w:t>
      </w:r>
    </w:p>
    <w:p w14:paraId="05458833" w14:textId="77777777" w:rsidR="008B1C31" w:rsidRDefault="008B1C31" w:rsidP="00707BFB">
      <w:pPr>
        <w:keepNext/>
        <w:widowControl w:val="0"/>
        <w:spacing w:line="360" w:lineRule="auto"/>
        <w:jc w:val="both"/>
        <w:rPr>
          <w:sz w:val="26"/>
          <w:szCs w:val="26"/>
        </w:rPr>
      </w:pPr>
    </w:p>
    <w:p w14:paraId="5786CBC4" w14:textId="77777777" w:rsidR="008B1C31" w:rsidRDefault="008B1C31" w:rsidP="00707BFB">
      <w:pPr>
        <w:keepNext/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40"/>
          <w:sz w:val="26"/>
          <w:szCs w:val="26"/>
        </w:rPr>
        <w:t>Ведущее учреждение:</w:t>
      </w:r>
    </w:p>
    <w:p w14:paraId="694403BB" w14:textId="77777777" w:rsidR="008B1C31" w:rsidRDefault="008B1C31" w:rsidP="00707BFB">
      <w:pPr>
        <w:keepNext/>
        <w:widowControl w:val="0"/>
        <w:spacing w:line="360" w:lineRule="auto"/>
        <w:jc w:val="both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Российский Государственный Медицинский Университет</w:t>
      </w:r>
    </w:p>
    <w:p w14:paraId="714FFB7E" w14:textId="77777777" w:rsidR="008B1C31" w:rsidRDefault="008B1C31" w:rsidP="00707BFB">
      <w:pPr>
        <w:keepNext/>
        <w:widowControl w:val="0"/>
        <w:spacing w:line="360" w:lineRule="auto"/>
        <w:jc w:val="both"/>
        <w:rPr>
          <w:sz w:val="26"/>
          <w:szCs w:val="26"/>
        </w:rPr>
      </w:pPr>
    </w:p>
    <w:p w14:paraId="246FF375" w14:textId="77777777" w:rsidR="008B1C31" w:rsidRDefault="008B1C31" w:rsidP="00707BFB">
      <w:pPr>
        <w:keepNext/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Защита состоится “ 15 ”   мая   2001г. в “  13  ” часов на заседании диссертац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онного совета Д.208.041.01 в Московском Государственном медико-стоматологическом универс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тете по адресу: 103433, г. Москва, ул. Долгоруковская, д.4.</w:t>
      </w:r>
    </w:p>
    <w:p w14:paraId="75DB8B85" w14:textId="77777777" w:rsidR="008B1C31" w:rsidRDefault="008B1C31" w:rsidP="00707BFB">
      <w:pPr>
        <w:keepNext/>
        <w:widowControl w:val="0"/>
        <w:spacing w:line="360" w:lineRule="auto"/>
        <w:jc w:val="both"/>
        <w:rPr>
          <w:sz w:val="26"/>
          <w:szCs w:val="26"/>
        </w:rPr>
      </w:pPr>
    </w:p>
    <w:p w14:paraId="02845A1E" w14:textId="77777777" w:rsidR="008B1C31" w:rsidRDefault="008B1C31" w:rsidP="00707BFB">
      <w:pPr>
        <w:keepNext/>
        <w:widowControl w:val="0"/>
        <w:spacing w:line="360" w:lineRule="auto"/>
        <w:jc w:val="both"/>
        <w:rPr>
          <w:sz w:val="26"/>
          <w:szCs w:val="26"/>
        </w:rPr>
      </w:pPr>
    </w:p>
    <w:p w14:paraId="2A81DA7C" w14:textId="77777777" w:rsidR="008B1C31" w:rsidRDefault="008B1C31" w:rsidP="00707BFB">
      <w:pPr>
        <w:keepNext/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С диссертацией можно ознакомиться в библиотеке Московского Государс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венного медико-стоматологического университета по адресу: ул. Вучетича, д.10а.</w:t>
      </w:r>
    </w:p>
    <w:p w14:paraId="52A7999F" w14:textId="77777777" w:rsidR="008B1C31" w:rsidRDefault="008B1C31" w:rsidP="00707BFB">
      <w:pPr>
        <w:keepNext/>
        <w:widowControl w:val="0"/>
        <w:spacing w:line="360" w:lineRule="auto"/>
        <w:jc w:val="both"/>
        <w:rPr>
          <w:sz w:val="26"/>
          <w:szCs w:val="26"/>
        </w:rPr>
      </w:pPr>
    </w:p>
    <w:p w14:paraId="02BD39B0" w14:textId="77777777" w:rsidR="008B1C31" w:rsidRDefault="008B1C31" w:rsidP="00707BFB">
      <w:pPr>
        <w:keepNext/>
        <w:widowControl w:val="0"/>
        <w:spacing w:line="360" w:lineRule="auto"/>
        <w:jc w:val="both"/>
        <w:rPr>
          <w:sz w:val="26"/>
          <w:szCs w:val="26"/>
        </w:rPr>
      </w:pPr>
    </w:p>
    <w:p w14:paraId="305ACF02" w14:textId="77777777" w:rsidR="008B1C31" w:rsidRDefault="008B1C31" w:rsidP="00707BFB">
      <w:pPr>
        <w:keepNext/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Автореферат разослан “</w:t>
      </w:r>
      <w:r>
        <w:rPr>
          <w:sz w:val="26"/>
          <w:szCs w:val="26"/>
          <w:u w:val="single"/>
        </w:rPr>
        <w:t xml:space="preserve">    28    </w:t>
      </w:r>
      <w:r>
        <w:rPr>
          <w:sz w:val="26"/>
          <w:szCs w:val="26"/>
        </w:rPr>
        <w:t>” марта 2001 г.</w:t>
      </w:r>
    </w:p>
    <w:p w14:paraId="26C450CE" w14:textId="77777777" w:rsidR="008B1C31" w:rsidRDefault="008B1C31" w:rsidP="00707BFB">
      <w:pPr>
        <w:keepNext/>
        <w:widowControl w:val="0"/>
        <w:spacing w:line="360" w:lineRule="auto"/>
        <w:jc w:val="both"/>
        <w:rPr>
          <w:sz w:val="26"/>
          <w:szCs w:val="26"/>
        </w:rPr>
      </w:pPr>
    </w:p>
    <w:p w14:paraId="545CA77B" w14:textId="77777777" w:rsidR="008B1C31" w:rsidRDefault="008B1C31" w:rsidP="00707BFB">
      <w:pPr>
        <w:keepNext/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Ученый секретарь </w:t>
      </w:r>
    </w:p>
    <w:p w14:paraId="0191FFD1" w14:textId="77777777" w:rsidR="008B1C31" w:rsidRDefault="008B1C31" w:rsidP="00707BFB">
      <w:pPr>
        <w:keepNext/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диссертационного совета</w:t>
      </w:r>
    </w:p>
    <w:p w14:paraId="590F9824" w14:textId="77777777" w:rsidR="008B1C31" w:rsidRDefault="008B1C31" w:rsidP="00707BFB">
      <w:pPr>
        <w:keepNext/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Доктор медицинских наук, </w:t>
      </w:r>
    </w:p>
    <w:p w14:paraId="464C8528" w14:textId="77777777" w:rsidR="008B1C31" w:rsidRDefault="008B1C31" w:rsidP="00707BFB">
      <w:pPr>
        <w:keepNext/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профессор                                                                                                  И.В. Маев</w:t>
      </w:r>
    </w:p>
    <w:p w14:paraId="009D19F0" w14:textId="77777777" w:rsidR="008B1C31" w:rsidRDefault="008B1C31" w:rsidP="00707BFB"/>
    <w:p w14:paraId="25F8CDD4" w14:textId="77777777" w:rsidR="008B1C31" w:rsidRDefault="008B1C31" w:rsidP="00707BFB">
      <w:pPr>
        <w:pStyle w:val="2"/>
        <w:pageBreakBefore w:val="0"/>
        <w:widowControl w:val="0"/>
        <w:ind w:left="0" w:right="0"/>
        <w:rPr>
          <w:sz w:val="24"/>
          <w:szCs w:val="24"/>
        </w:rPr>
      </w:pPr>
      <w:r>
        <w:rPr>
          <w:sz w:val="24"/>
          <w:szCs w:val="24"/>
        </w:rPr>
        <w:lastRenderedPageBreak/>
        <w:t>ОБЩАЯ ХАРАКТЕРИСТИКА РАБОТЫ</w:t>
      </w:r>
    </w:p>
    <w:p w14:paraId="54FCF5FD" w14:textId="77777777" w:rsidR="008B1C31" w:rsidRDefault="008B1C31" w:rsidP="00707BFB">
      <w:pPr>
        <w:pStyle w:val="a4"/>
        <w:keepNext/>
        <w:widowControl w:val="0"/>
        <w:tabs>
          <w:tab w:val="clear" w:pos="4703"/>
          <w:tab w:val="clear" w:pos="9406"/>
        </w:tabs>
      </w:pPr>
    </w:p>
    <w:p w14:paraId="0775C431" w14:textId="77777777" w:rsidR="008B1C31" w:rsidRDefault="008B1C31" w:rsidP="00707BFB">
      <w:pPr>
        <w:pStyle w:val="a4"/>
        <w:keepNext/>
        <w:widowControl w:val="0"/>
        <w:tabs>
          <w:tab w:val="clear" w:pos="4703"/>
          <w:tab w:val="clear" w:pos="9406"/>
        </w:tabs>
      </w:pPr>
    </w:p>
    <w:p w14:paraId="4BF43C5B" w14:textId="77777777" w:rsidR="008B1C31" w:rsidRDefault="008B1C31" w:rsidP="00707BFB">
      <w:pPr>
        <w:keepNext/>
        <w:widowControl w:val="0"/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Актуальность проблемы.</w:t>
      </w:r>
    </w:p>
    <w:p w14:paraId="73BC3D81" w14:textId="77777777" w:rsidR="008B1C31" w:rsidRDefault="008B1C31" w:rsidP="003121C5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Среди сердечно-сосудистых заболеваний, занимающих в экономически развитых странах мира первое место в структуре заболеваемости и смертности населения, наиболее часто встречае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пертоническая болезнь (ГБ).</w:t>
      </w:r>
    </w:p>
    <w:p w14:paraId="179084E3" w14:textId="77777777" w:rsidR="008B1C31" w:rsidRDefault="008B1C31" w:rsidP="003121C5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данным мета-анализа 9 эпидемиологических исследований, увеличение диастолическ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АД (ДАД) на 5 – 10 мм рт. ст. приводило к увеличению риска возникновения инсульта на 34 – 56% и увеличению риска развития острой коронарной недостаточности на 29% (</w:t>
      </w:r>
      <w:r>
        <w:rPr>
          <w:sz w:val="24"/>
          <w:szCs w:val="24"/>
          <w:lang w:val="en-US"/>
        </w:rPr>
        <w:t>Kannel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., </w:t>
      </w:r>
      <w:r>
        <w:rPr>
          <w:sz w:val="24"/>
          <w:szCs w:val="24"/>
          <w:lang w:val="en-US"/>
        </w:rPr>
        <w:t>Dawler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., 1985). До сих пор не установлены истинные причины ГБ. В 1988 г.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Reaven</w:t>
      </w:r>
      <w:r>
        <w:rPr>
          <w:sz w:val="24"/>
          <w:szCs w:val="24"/>
        </w:rPr>
        <w:t xml:space="preserve"> выдв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нул предположение о том, что в патогенезе АГ вовлечены инсулинорезистентность (ИР) и гип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ринсулинемия. Автор предложил термин «синдром Х» для обозначения кластера метаболически связанных факторов, которые имеют место у одного и того же индивидуума. К ним относятся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зистентность тканей к стимулированной инсулином утилизации глюкозы, нарушение толерантн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к глюкозе (НТГ) или исулиннезависимый сахарный диабет (ИНСД), гиперинс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линемия, АГ, дислипидемия, абдоминальное ожирение (АО) (Зимин Ю.В., 1996., Моисеев В.С., 1997., Соколов Е.И., 1996). Имеются указания на то, что ИР сопровождается нарушениями в системе гемостаза (Задионченко В.С., 1996., Сорокин Е.В., 1996) и нарушением пуринового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мена (Бугаева Н.В., 1996., Дронов В.Н., 1999). </w:t>
      </w:r>
    </w:p>
    <w:p w14:paraId="1E46B83B" w14:textId="77777777" w:rsidR="008B1C31" w:rsidRDefault="008B1C31" w:rsidP="003121C5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эти метаболические расстройства сами по себе являются дополнительными факт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рами риска развития сердечно-сосудистых осложнений. Поэтому одним из основных требований, пред</w:t>
      </w:r>
      <w:r>
        <w:rPr>
          <w:sz w:val="24"/>
          <w:szCs w:val="24"/>
        </w:rPr>
        <w:t>ъ</w:t>
      </w:r>
      <w:r>
        <w:rPr>
          <w:sz w:val="24"/>
          <w:szCs w:val="24"/>
        </w:rPr>
        <w:t>являемым к современным антигипертензивным препаратам, является не только качественное сн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жение АД на протяжении суток, но и отсутствие неблагоприятных метаболических влияний. Ко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рекция этих состояний делает актуальным поиск эффективных и экономически доступных преп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ратов разнонаправленного действия. В связи с этим большой практический интерес представляет изуч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взаимодействия гипотензивной и гиполипидемической терапии.</w:t>
      </w:r>
    </w:p>
    <w:p w14:paraId="1A167904" w14:textId="77777777" w:rsidR="008B1C31" w:rsidRDefault="008B1C31" w:rsidP="003121C5">
      <w:pPr>
        <w:pStyle w:val="20"/>
        <w:keepNext/>
        <w:widowControl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Правильный выбор тактики лечения больных АГ с метаболическими нарушениями позвол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ет сохранить трудоспособность, значительно продлить жизнь пациенту и улучшить ее 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чество.</w:t>
      </w:r>
    </w:p>
    <w:p w14:paraId="6B2D502A" w14:textId="77777777" w:rsidR="008B1C31" w:rsidRDefault="008B1C31" w:rsidP="003121C5">
      <w:pPr>
        <w:pStyle w:val="20"/>
        <w:keepNext/>
        <w:widowControl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Все это послужило основанием для проведения работы.</w:t>
      </w:r>
    </w:p>
    <w:p w14:paraId="44694090" w14:textId="77777777" w:rsidR="008B1C31" w:rsidRDefault="008B1C31" w:rsidP="003121C5">
      <w:pPr>
        <w:ind w:firstLine="709"/>
        <w:jc w:val="both"/>
      </w:pPr>
    </w:p>
    <w:p w14:paraId="14DE9DF8" w14:textId="77777777" w:rsidR="008B1C31" w:rsidRDefault="008B1C31" w:rsidP="003121C5">
      <w:pPr>
        <w:ind w:firstLine="709"/>
        <w:jc w:val="both"/>
      </w:pPr>
    </w:p>
    <w:p w14:paraId="3B5EFBC6" w14:textId="77777777" w:rsidR="008B1C31" w:rsidRDefault="008B1C31" w:rsidP="003121C5">
      <w:pPr>
        <w:pStyle w:val="4"/>
        <w:widowControl w:val="0"/>
        <w:spacing w:line="360" w:lineRule="auto"/>
        <w:ind w:left="0" w:right="0" w:firstLine="709"/>
        <w:jc w:val="both"/>
        <w:rPr>
          <w:spacing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Цель исследования: </w:t>
      </w:r>
      <w:r>
        <w:rPr>
          <w:spacing w:val="0"/>
          <w:sz w:val="24"/>
          <w:szCs w:val="24"/>
        </w:rPr>
        <w:t>Выявить клинико-функциональные особенности течения АГ с ра</w:t>
      </w:r>
      <w:r>
        <w:rPr>
          <w:spacing w:val="0"/>
          <w:sz w:val="24"/>
          <w:szCs w:val="24"/>
        </w:rPr>
        <w:t>з</w:t>
      </w:r>
      <w:r>
        <w:rPr>
          <w:spacing w:val="0"/>
          <w:sz w:val="24"/>
          <w:szCs w:val="24"/>
        </w:rPr>
        <w:t>личным сочетанием метаболических факторов риска; изучить гемодинамические и метаболические эффекты антигипертензивных препаратов (эднит, фелодипин, логимакс) различных групп в кач</w:t>
      </w:r>
      <w:r>
        <w:rPr>
          <w:spacing w:val="0"/>
          <w:sz w:val="24"/>
          <w:szCs w:val="24"/>
        </w:rPr>
        <w:t>е</w:t>
      </w:r>
      <w:r>
        <w:rPr>
          <w:spacing w:val="0"/>
          <w:sz w:val="24"/>
          <w:szCs w:val="24"/>
        </w:rPr>
        <w:t>стве средств монотерапии и комбинации гипотензивной и гиполипидемической терапии (липоб</w:t>
      </w:r>
      <w:r>
        <w:rPr>
          <w:spacing w:val="0"/>
          <w:sz w:val="24"/>
          <w:szCs w:val="24"/>
        </w:rPr>
        <w:t>а</w:t>
      </w:r>
      <w:r>
        <w:rPr>
          <w:spacing w:val="0"/>
          <w:sz w:val="24"/>
          <w:szCs w:val="24"/>
        </w:rPr>
        <w:lastRenderedPageBreak/>
        <w:t>ем) при лечении больных с данной патологией.</w:t>
      </w:r>
    </w:p>
    <w:p w14:paraId="45EDBC1D" w14:textId="77777777" w:rsidR="008B1C31" w:rsidRDefault="008B1C31" w:rsidP="003121C5">
      <w:pPr>
        <w:keepNext/>
        <w:widowControl w:val="0"/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14:paraId="4C566E90" w14:textId="77777777" w:rsidR="008B1C31" w:rsidRDefault="008B1C31" w:rsidP="003121C5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Задачи исследования:</w:t>
      </w:r>
    </w:p>
    <w:p w14:paraId="2ADC75D6" w14:textId="77777777" w:rsidR="008B1C31" w:rsidRDefault="008B1C31" w:rsidP="003121C5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Изучить особенности суточного профиля АД (СПАД), морфофункциональных показат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лей сердца, системы гемостаза у больных </w:t>
      </w:r>
      <w:r>
        <w:rPr>
          <w:spacing w:val="-20"/>
          <w:sz w:val="24"/>
          <w:szCs w:val="24"/>
        </w:rPr>
        <w:t>АГ с</w:t>
      </w:r>
      <w:r>
        <w:rPr>
          <w:sz w:val="24"/>
          <w:szCs w:val="24"/>
        </w:rPr>
        <w:t xml:space="preserve"> метаболическими нарушениями.</w:t>
      </w:r>
    </w:p>
    <w:p w14:paraId="66A15F51" w14:textId="77777777" w:rsidR="008B1C31" w:rsidRDefault="008B1C31" w:rsidP="003121C5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Оценить эффективность и переносимость терапии эднитом, плендилом и логимаксом, а также влияние исследуемых препаратов на метаболические факторы риска у пациентов с этим клинич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ским вариантом течения АГ.</w:t>
      </w:r>
    </w:p>
    <w:p w14:paraId="57D298B1" w14:textId="77777777" w:rsidR="008B1C31" w:rsidRDefault="008B1C31" w:rsidP="003121C5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Изучить эффективность и переносимость комбинации гипотензивной и гиполипидемич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ской терапии липобаем у больных АГ в сочетании с атерогенной дислипидемией.</w:t>
      </w:r>
    </w:p>
    <w:p w14:paraId="45389837" w14:textId="77777777" w:rsidR="008B1C31" w:rsidRDefault="008B1C31" w:rsidP="003121C5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Изучить психоэмоциональное состояние, особенности личности и качество жизни у больных АГ с различным сочетанием метаболических факторов риска в процессе лечения.</w:t>
      </w:r>
    </w:p>
    <w:p w14:paraId="27344E9F" w14:textId="77777777" w:rsidR="008B1C31" w:rsidRDefault="008B1C31" w:rsidP="003121C5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полученных данных выработать практические рекомендации по раци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нальному применению антигипертензивных (эднит, фелодипин, логимакс) и гиполипидемических (л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побай) препаратов у больных АГ с метаболическими нарушениями.</w:t>
      </w:r>
    </w:p>
    <w:p w14:paraId="1CB8FF08" w14:textId="77777777" w:rsidR="008B1C31" w:rsidRDefault="008B1C31" w:rsidP="003121C5">
      <w:pPr>
        <w:keepNext/>
        <w:widowControl w:val="0"/>
        <w:spacing w:line="36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14:paraId="001CA483" w14:textId="77777777" w:rsidR="008B1C31" w:rsidRDefault="008B1C31" w:rsidP="003121C5">
      <w:pPr>
        <w:keepNext/>
        <w:widowControl w:val="0"/>
        <w:spacing w:line="360" w:lineRule="auto"/>
        <w:ind w:firstLine="709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Научная новизна: </w:t>
      </w:r>
      <w:r>
        <w:rPr>
          <w:sz w:val="24"/>
          <w:szCs w:val="24"/>
        </w:rPr>
        <w:t>Показана необходимость обследования больных АГ для выявления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табол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ческих расстройств, изменений в системе гемостаза и психоэмоциональных нарушений.</w:t>
      </w:r>
    </w:p>
    <w:p w14:paraId="65DFD775" w14:textId="77777777" w:rsidR="008B1C31" w:rsidRDefault="008B1C31" w:rsidP="003121C5">
      <w:pPr>
        <w:pStyle w:val="a6"/>
        <w:keepNext/>
        <w:widowControl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Проведена комплексная оценка эффективности и переносимости эднита, фелодипина и 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гимакса; их влияние на параметры СПАД, показатели центральной гемодинамики, реологию кр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ви, метаб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лические факторы риска.</w:t>
      </w:r>
    </w:p>
    <w:p w14:paraId="5759813D" w14:textId="77777777" w:rsidR="008B1C31" w:rsidRDefault="008B1C31" w:rsidP="003121C5">
      <w:pPr>
        <w:pStyle w:val="a6"/>
        <w:keepNext/>
        <w:widowControl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Доказано, что исследуемые препараты являются эффективными и безопасными средс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вами у больных АГ с метаболическими нарушениями при 10-недельной (фелодипин, логимакс) и 12-недельной (эднит) терапии.</w:t>
      </w:r>
    </w:p>
    <w:p w14:paraId="1FBFF24E" w14:textId="77777777" w:rsidR="008B1C31" w:rsidRDefault="008B1C31" w:rsidP="003121C5">
      <w:pPr>
        <w:pStyle w:val="30"/>
        <w:widowControl w:val="0"/>
        <w:rPr>
          <w:sz w:val="24"/>
          <w:szCs w:val="24"/>
        </w:rPr>
      </w:pPr>
      <w:r>
        <w:rPr>
          <w:sz w:val="24"/>
          <w:szCs w:val="24"/>
        </w:rPr>
        <w:t>Обоснована необходимость комбинации гипотензивной и гиполипидемической терапии у больных АГ с сопутствующей атерогенной дислипидемией и доказана эффективность и безопа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ность 8-недельной антигипертензивной терапии в сочетании с липобаем.</w:t>
      </w:r>
    </w:p>
    <w:p w14:paraId="21BF5874" w14:textId="77777777" w:rsidR="008B1C31" w:rsidRDefault="008B1C31" w:rsidP="003121C5">
      <w:pPr>
        <w:pStyle w:val="21"/>
        <w:keepNext/>
        <w:widowControl w:val="0"/>
        <w:spacing w:line="360" w:lineRule="auto"/>
        <w:ind w:lef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Практическая значимость: </w:t>
      </w:r>
    </w:p>
    <w:p w14:paraId="44B123DF" w14:textId="77777777" w:rsidR="008B1C31" w:rsidRDefault="008B1C31" w:rsidP="003121C5">
      <w:pPr>
        <w:pStyle w:val="21"/>
        <w:keepNext/>
        <w:widowControl w:val="0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Полученные данные позволяют на современном этапе оценить клиническую эффективность лечения АГ, расширяют спектр препаратов выбора при лечении АГ с различными метаболическ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ми факторами риска. К практическому применению предлагается комплексная оценка терапии АГ с использованием суточного мониторирования АД (СМАД), эхокардиографии (ЭХО – КГ), лабор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торных методов, с учетом психоэмоционального состояния пациента.</w:t>
      </w:r>
    </w:p>
    <w:p w14:paraId="5AB9F1A9" w14:textId="77777777" w:rsidR="008B1C31" w:rsidRDefault="008B1C31" w:rsidP="003121C5">
      <w:pPr>
        <w:pStyle w:val="21"/>
        <w:keepNext/>
        <w:widowControl w:val="0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Эти методы позволят объективно оценить течение заболевания и дадут возможность опт</w:t>
      </w:r>
      <w:r>
        <w:rPr>
          <w:sz w:val="24"/>
          <w:szCs w:val="24"/>
        </w:rPr>
        <w:t>и</w:t>
      </w:r>
      <w:r>
        <w:rPr>
          <w:sz w:val="24"/>
          <w:szCs w:val="24"/>
        </w:rPr>
        <w:lastRenderedPageBreak/>
        <w:t>мизации средств лечения АГ с метаболическими нарушениями.</w:t>
      </w:r>
    </w:p>
    <w:p w14:paraId="2A78BD75" w14:textId="77777777" w:rsidR="008B1C31" w:rsidRDefault="008B1C31" w:rsidP="003121C5">
      <w:pPr>
        <w:keepNext/>
        <w:widowControl w:val="0"/>
        <w:spacing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508FBE8" w14:textId="77777777" w:rsidR="008B1C31" w:rsidRDefault="008B1C31" w:rsidP="003121C5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Внедрение в практику: </w:t>
      </w:r>
      <w:r>
        <w:rPr>
          <w:sz w:val="24"/>
          <w:szCs w:val="24"/>
        </w:rPr>
        <w:t>Применение суточного мониторирования АД в составе комплек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ного обследования больных и применение эднита, плендила, логимакса и липобая в лечении бол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АГ с метаболическими расстройствами используется в практической деятельности вр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чей в ГКБ №11, а также в научной и практической работе кафедры внутренних болезней №5 МГМСУ.</w:t>
      </w:r>
    </w:p>
    <w:p w14:paraId="74B4DB47" w14:textId="77777777" w:rsidR="008B1C31" w:rsidRDefault="008B1C31" w:rsidP="003121C5">
      <w:pPr>
        <w:keepNext/>
        <w:widowControl w:val="0"/>
        <w:spacing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94D377D" w14:textId="77777777" w:rsidR="008B1C31" w:rsidRDefault="008B1C31" w:rsidP="003121C5">
      <w:pPr>
        <w:keepNext/>
        <w:widowControl w:val="0"/>
        <w:spacing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Апробация работы. </w:t>
      </w:r>
    </w:p>
    <w:p w14:paraId="0256AAA1" w14:textId="77777777" w:rsidR="008B1C31" w:rsidRDefault="008B1C31" w:rsidP="003121C5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положения исследования доложены на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Национальных конгрессах “Чел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век и лекарство” (Москва, 1999 – 2001гг), ХХ итоговой межвузовской научной конференции мол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дых ученых (Москва, 1998г), международном форуме «Кардиология» (Москва, 1999г),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Всероссийском съезде кардиологов (Москва, 1999г), Международном научном форуме «Достиж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клинической фармакологии» в рамках международной медицинской выставки «Здравоохран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99» (Москва, 1999г), Научно-практической конференции «Актуальные проблемы артериальной гипе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тонии» (Москва, 1999г), Российской конференции: «Лечение и профилактика артериальной гипертонии» в рамках Второй международной специализированной выставки «Ка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диология – 2000» и Российского научного форума «Российская кардиология в начале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века» (Москва, 2000г). </w:t>
      </w:r>
    </w:p>
    <w:p w14:paraId="51DC8B66" w14:textId="77777777" w:rsidR="008B1C31" w:rsidRDefault="008B1C31" w:rsidP="003121C5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Апробация диссертации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состоялась 26 февраля 2001 года на совместном заседании кафедры внутренних болезней № 1, кафедры внутренних болезней № 5, кафедры клинической фармакол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гии и терапии лечебного факультета МГМСУ и отдела гранулематозных болезней легких Це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трального научно-исследовательского института туберкулеза РАМН, а также врачей ГКБ №11.</w:t>
      </w:r>
    </w:p>
    <w:p w14:paraId="14DCA8A4" w14:textId="77777777" w:rsidR="008B1C31" w:rsidRDefault="008B1C31" w:rsidP="003121C5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Публикации. </w:t>
      </w:r>
      <w:r>
        <w:rPr>
          <w:sz w:val="24"/>
          <w:szCs w:val="24"/>
        </w:rPr>
        <w:t>По материалам диссертации опубликовано 23 работы.</w:t>
      </w:r>
      <w:r>
        <w:rPr>
          <w:sz w:val="24"/>
          <w:szCs w:val="24"/>
        </w:rPr>
        <w:tab/>
      </w:r>
    </w:p>
    <w:p w14:paraId="703E6B39" w14:textId="77777777" w:rsidR="008B1C31" w:rsidRDefault="008B1C31" w:rsidP="003121C5">
      <w:pPr>
        <w:keepNext/>
        <w:widowControl w:val="0"/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14:paraId="25A46D22" w14:textId="77777777" w:rsidR="008B1C31" w:rsidRDefault="008B1C31" w:rsidP="003121C5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Структура и объём диссертации. </w:t>
      </w:r>
      <w:r>
        <w:rPr>
          <w:sz w:val="24"/>
          <w:szCs w:val="24"/>
        </w:rPr>
        <w:t>Диссертация изложена на 137 страницах машинописного текста, состоит из введения, обзора литературы, главы, посвящённой материалам и методам иссл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дования, полученных результатов и их обсуждения, выводов, практических рекомендаций, илл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стрирована 39 таблицами и 21 рисунком, 2 клиническими примерами. Библиография вкл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чает 139 отечественных и 84 зарубежных источника.</w:t>
      </w:r>
    </w:p>
    <w:p w14:paraId="2FFB7BE8" w14:textId="77777777" w:rsidR="008B1C31" w:rsidRDefault="008B1C31" w:rsidP="00707BFB">
      <w:pPr>
        <w:pStyle w:val="2"/>
        <w:pageBreakBefore w:val="0"/>
        <w:widowControl w:val="0"/>
        <w:ind w:left="0" w:right="0"/>
        <w:rPr>
          <w:sz w:val="20"/>
          <w:szCs w:val="20"/>
        </w:rPr>
      </w:pPr>
    </w:p>
    <w:p w14:paraId="5DCD42DB" w14:textId="77777777" w:rsidR="008B1C31" w:rsidRDefault="008B1C31" w:rsidP="00707BFB">
      <w:pPr>
        <w:pStyle w:val="2"/>
        <w:pageBreakBefore w:val="0"/>
        <w:widowControl w:val="0"/>
        <w:ind w:left="0" w:right="0"/>
        <w:rPr>
          <w:sz w:val="20"/>
          <w:szCs w:val="20"/>
        </w:rPr>
      </w:pPr>
    </w:p>
    <w:p w14:paraId="268AA1A7" w14:textId="77777777" w:rsidR="008B1C31" w:rsidRDefault="008B1C31" w:rsidP="00707BFB">
      <w:pPr>
        <w:pStyle w:val="2"/>
        <w:pageBreakBefore w:val="0"/>
        <w:widowControl w:val="0"/>
        <w:ind w:left="0" w:right="0"/>
        <w:rPr>
          <w:sz w:val="24"/>
          <w:szCs w:val="24"/>
        </w:rPr>
      </w:pPr>
      <w:r>
        <w:rPr>
          <w:sz w:val="24"/>
          <w:szCs w:val="24"/>
        </w:rPr>
        <w:t>СОДЕРЖАНИЕ РАБОТЫ</w:t>
      </w:r>
    </w:p>
    <w:p w14:paraId="2F685232" w14:textId="77777777" w:rsidR="008B1C31" w:rsidRDefault="008B1C31" w:rsidP="00707BFB">
      <w:pPr>
        <w:pStyle w:val="a4"/>
        <w:keepNext/>
        <w:widowControl w:val="0"/>
        <w:tabs>
          <w:tab w:val="clear" w:pos="4703"/>
          <w:tab w:val="clear" w:pos="9406"/>
        </w:tabs>
      </w:pPr>
    </w:p>
    <w:p w14:paraId="5026096D" w14:textId="77777777" w:rsidR="008B1C31" w:rsidRDefault="008B1C31" w:rsidP="00707BFB">
      <w:pPr>
        <w:keepNext/>
        <w:widowControl w:val="0"/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Материал и методы исследования</w:t>
      </w:r>
    </w:p>
    <w:p w14:paraId="5E447C74" w14:textId="77777777" w:rsidR="008B1C31" w:rsidRDefault="008B1C31" w:rsidP="003121C5">
      <w:pPr>
        <w:pStyle w:val="20"/>
        <w:keepNext/>
        <w:widowControl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Обследовано 120 больных АГ с различным сочетанием метаболических факторов риска, </w:t>
      </w:r>
      <w:r>
        <w:rPr>
          <w:sz w:val="24"/>
          <w:szCs w:val="24"/>
        </w:rPr>
        <w:lastRenderedPageBreak/>
        <w:t>общая характеристика которых приведена в таблице № 1. Сформированы две группы: в первую группу отобраны больные, получающие гипотензивную терапию (1.1. ингибитором АПФ - эдн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том; 1.2. пролонгированным антагонистом кальция дигидропиридинового ряда - фелодипином; 1.3. комб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нированным препаратом (кардиоселективный β-блокатор - метопролол/антагонист кальция -фелодипин) - логимаксом). Вторую группу составили больные, получающие сочетание гипоте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зивной и гиполипидемической терапии липобаем (церивастатином).</w:t>
      </w:r>
    </w:p>
    <w:p w14:paraId="04675087" w14:textId="77777777" w:rsidR="008B1C31" w:rsidRDefault="008B1C31" w:rsidP="00707BFB">
      <w:pPr>
        <w:pStyle w:val="a6"/>
        <w:keepNext/>
        <w:widowControl w:val="0"/>
        <w:tabs>
          <w:tab w:val="left" w:pos="851"/>
          <w:tab w:val="left" w:pos="3828"/>
        </w:tabs>
        <w:spacing w:before="240" w:line="240" w:lineRule="auto"/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№ 1.</w:t>
      </w:r>
    </w:p>
    <w:p w14:paraId="0A88EB1E" w14:textId="77777777" w:rsidR="008B1C31" w:rsidRDefault="008B1C31" w:rsidP="00707BFB">
      <w:pPr>
        <w:pStyle w:val="a6"/>
        <w:keepNext/>
        <w:widowControl w:val="0"/>
        <w:tabs>
          <w:tab w:val="left" w:pos="851"/>
          <w:tab w:val="left" w:pos="3828"/>
        </w:tabs>
        <w:spacing w:before="240" w:line="240" w:lineRule="atLeast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Клинико-демографическая характеристика больных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1469"/>
        <w:gridCol w:w="62"/>
        <w:gridCol w:w="1500"/>
        <w:gridCol w:w="31"/>
        <w:gridCol w:w="1531"/>
        <w:gridCol w:w="1786"/>
      </w:tblGrid>
      <w:tr w:rsidR="008B1C31" w14:paraId="1633906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41B0877C" w14:textId="3B8F80B5" w:rsidR="008B1C31" w:rsidRDefault="00DF6904" w:rsidP="00707BFB">
            <w:pPr>
              <w:pStyle w:val="3"/>
              <w:widowControl w:val="0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D2DDB70" wp14:editId="51B583D6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190500</wp:posOffset>
                      </wp:positionV>
                      <wp:extent cx="1554480" cy="365760"/>
                      <wp:effectExtent l="0" t="0" r="0" b="0"/>
                      <wp:wrapNone/>
                      <wp:docPr id="1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92F53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15pt" to="145.3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" o:allowincell="f"/>
                  </w:pict>
                </mc:Fallback>
              </mc:AlternateContent>
            </w:r>
            <w:r w:rsidR="008B1C31">
              <w:rPr>
                <w:b w:val="0"/>
                <w:bCs w:val="0"/>
                <w:sz w:val="24"/>
                <w:szCs w:val="24"/>
              </w:rPr>
              <w:t>Группы больных</w:t>
            </w:r>
          </w:p>
          <w:p w14:paraId="2C4A729F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both"/>
              <w:rPr>
                <w:sz w:val="24"/>
                <w:szCs w:val="24"/>
              </w:rPr>
            </w:pPr>
          </w:p>
          <w:p w14:paraId="3F1BF7AF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2EF9B7B6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группа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FFFFFF"/>
          </w:tcPr>
          <w:p w14:paraId="3D09915E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группа</w:t>
            </w:r>
          </w:p>
          <w:p w14:paraId="331A8B3B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rPr>
                <w:sz w:val="24"/>
                <w:szCs w:val="24"/>
              </w:rPr>
            </w:pPr>
          </w:p>
          <w:p w14:paraId="1C5C263C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(N = 45)</w:t>
            </w:r>
          </w:p>
        </w:tc>
      </w:tr>
      <w:tr w:rsidR="008B1C31" w14:paraId="6D65EF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5338B47C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170E1CC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1.1.</w:t>
            </w:r>
          </w:p>
          <w:p w14:paraId="22932667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(N=35)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235085A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1.2.</w:t>
            </w:r>
          </w:p>
          <w:p w14:paraId="478E0A62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(N = 25)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F313975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14:paraId="0E75FE8C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= 15)</w:t>
            </w: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FB2E772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</w:p>
        </w:tc>
      </w:tr>
      <w:tr w:rsidR="008B1C31" w14:paraId="7969BB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A94BD33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Возраст, годы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4E7B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 ± 1,5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8F64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 ±2,1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67A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 ± 2,7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642C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 ± 4,9</w:t>
            </w:r>
          </w:p>
        </w:tc>
      </w:tr>
      <w:tr w:rsidR="008B1C31" w14:paraId="1EB7AB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841B38F" w14:textId="77777777" w:rsidR="008B1C31" w:rsidRDefault="008B1C31" w:rsidP="00707BFB">
            <w:pPr>
              <w:pStyle w:val="1"/>
              <w:widowControl w:val="0"/>
              <w:tabs>
                <w:tab w:val="left" w:pos="1418"/>
                <w:tab w:val="left" w:pos="2268"/>
                <w:tab w:val="left" w:pos="14430"/>
              </w:tabs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САДср, мм рт. ст.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409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146,4 ± 1,6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A400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146,3 ± 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7FD3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142,5 ± 1,5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3D1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143,1 ± 1,8</w:t>
            </w:r>
          </w:p>
        </w:tc>
      </w:tr>
      <w:tr w:rsidR="008B1C31" w14:paraId="0CAB4C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7340A5C" w14:textId="77777777" w:rsidR="008B1C31" w:rsidRDefault="008B1C31" w:rsidP="00707BFB">
            <w:pPr>
              <w:pStyle w:val="2"/>
              <w:pageBreakBefore w:val="0"/>
              <w:widowControl w:val="0"/>
              <w:tabs>
                <w:tab w:val="left" w:pos="1418"/>
                <w:tab w:val="left" w:pos="2268"/>
                <w:tab w:val="left" w:pos="14430"/>
              </w:tabs>
              <w:spacing w:line="240" w:lineRule="auto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ДАДср, мм рт. ст.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D48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 ± 1,5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1665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 ± 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89F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 ± 1,3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CD7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 ± 1,8</w:t>
            </w:r>
          </w:p>
        </w:tc>
      </w:tr>
      <w:tr w:rsidR="008B1C31" w14:paraId="2E8E82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2B4B045" w14:textId="77777777" w:rsidR="008B1C31" w:rsidRDefault="008B1C31" w:rsidP="00707BFB">
            <w:pPr>
              <w:pStyle w:val="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ЧСС, уд/мин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094F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 ± 1,5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BEB1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 ± 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5F78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 ± 2,7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043" w14:textId="77777777" w:rsidR="008B1C31" w:rsidRDefault="008B1C31" w:rsidP="00707BFB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 ± 1,6</w:t>
            </w:r>
          </w:p>
        </w:tc>
      </w:tr>
      <w:tr w:rsidR="008B1C31" w14:paraId="083BB8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C425821" w14:textId="77777777" w:rsidR="008B1C31" w:rsidRDefault="008B1C31" w:rsidP="00707BFB">
            <w:pPr>
              <w:pStyle w:val="3"/>
              <w:widowControl w:val="0"/>
              <w:tabs>
                <w:tab w:val="left" w:pos="1418"/>
                <w:tab w:val="left" w:pos="2268"/>
                <w:tab w:val="left" w:pos="14430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Факторы риска (в %), сопутствующие АГ</w:t>
            </w:r>
          </w:p>
        </w:tc>
      </w:tr>
      <w:tr w:rsidR="008B1C31" w14:paraId="26D709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61401DC" w14:textId="77777777" w:rsidR="008B1C31" w:rsidRDefault="008B1C31" w:rsidP="00707BFB">
            <w:pPr>
              <w:pStyle w:val="3"/>
              <w:widowControl w:val="0"/>
              <w:tabs>
                <w:tab w:val="left" w:pos="426"/>
              </w:tabs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Дислипидемия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4B61" w14:textId="77777777" w:rsidR="008B1C31" w:rsidRDefault="008B1C31" w:rsidP="00707BFB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CF30" w14:textId="77777777" w:rsidR="008B1C31" w:rsidRDefault="008B1C31" w:rsidP="00707BFB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1D29" w14:textId="77777777" w:rsidR="008B1C31" w:rsidRDefault="008B1C31" w:rsidP="00707BFB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74A1" w14:textId="77777777" w:rsidR="008B1C31" w:rsidRDefault="008B1C31" w:rsidP="00707BFB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1C31" w14:paraId="2B1114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2A5715E" w14:textId="77777777" w:rsidR="008B1C31" w:rsidRDefault="008B1C31" w:rsidP="00707BFB">
            <w:pPr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Ожирение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DE91" w14:textId="77777777" w:rsidR="008B1C31" w:rsidRDefault="008B1C31" w:rsidP="00707BFB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3C17" w14:textId="77777777" w:rsidR="008B1C31" w:rsidRDefault="008B1C31" w:rsidP="00707BFB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08E9" w14:textId="77777777" w:rsidR="008B1C31" w:rsidRDefault="008B1C31" w:rsidP="00707BFB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A238" w14:textId="77777777" w:rsidR="008B1C31" w:rsidRDefault="008B1C31" w:rsidP="00707BFB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8B1C31" w14:paraId="3E820D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949DB36" w14:textId="77777777" w:rsidR="008B1C31" w:rsidRDefault="008B1C31" w:rsidP="00707BFB">
            <w:pPr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Гиперфибриног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немия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8E3F" w14:textId="77777777" w:rsidR="008B1C31" w:rsidRDefault="008B1C31" w:rsidP="00707BFB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C262" w14:textId="77777777" w:rsidR="008B1C31" w:rsidRDefault="008B1C31" w:rsidP="00707BFB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E59E" w14:textId="77777777" w:rsidR="008B1C31" w:rsidRDefault="008B1C31" w:rsidP="00707BFB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CB33" w14:textId="77777777" w:rsidR="008B1C31" w:rsidRDefault="008B1C31" w:rsidP="00707BFB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B1C31" w14:paraId="420CE2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E3DE41C" w14:textId="77777777" w:rsidR="008B1C31" w:rsidRDefault="008B1C31" w:rsidP="00707BFB">
            <w:pPr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Гиперурекимия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17" w14:textId="77777777" w:rsidR="008B1C31" w:rsidRDefault="008B1C31" w:rsidP="00707BFB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1BDA" w14:textId="77777777" w:rsidR="008B1C31" w:rsidRDefault="008B1C31" w:rsidP="00707BFB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70CF" w14:textId="77777777" w:rsidR="008B1C31" w:rsidRDefault="008B1C31" w:rsidP="00707BFB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D5B" w14:textId="77777777" w:rsidR="008B1C31" w:rsidRDefault="008B1C31" w:rsidP="00707BFB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B1C31" w14:paraId="1C1155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3669F88" w14:textId="77777777" w:rsidR="008B1C31" w:rsidRDefault="008B1C31" w:rsidP="00707BFB">
            <w:pPr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ИНСД или НТГ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6F2" w14:textId="77777777" w:rsidR="008B1C31" w:rsidRDefault="008B1C31" w:rsidP="00707BFB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0C7" w14:textId="77777777" w:rsidR="008B1C31" w:rsidRDefault="008B1C31" w:rsidP="00707BFB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0B57" w14:textId="77777777" w:rsidR="008B1C31" w:rsidRDefault="008B1C31" w:rsidP="00707BFB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FBEC" w14:textId="77777777" w:rsidR="008B1C31" w:rsidRDefault="008B1C31" w:rsidP="00707BFB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14:paraId="5FFE0513" w14:textId="77777777" w:rsidR="008B1C31" w:rsidRDefault="008B1C31" w:rsidP="00707BFB">
      <w:pPr>
        <w:pStyle w:val="a6"/>
        <w:keepNext/>
        <w:widowControl w:val="0"/>
        <w:tabs>
          <w:tab w:val="left" w:pos="0"/>
          <w:tab w:val="left" w:pos="3271"/>
          <w:tab w:val="left" w:pos="9072"/>
        </w:tabs>
        <w:spacing w:line="360" w:lineRule="auto"/>
        <w:rPr>
          <w:sz w:val="24"/>
          <w:szCs w:val="24"/>
        </w:rPr>
      </w:pPr>
    </w:p>
    <w:p w14:paraId="2F15A6A9" w14:textId="77777777" w:rsidR="008B1C31" w:rsidRDefault="008B1C31" w:rsidP="003121C5">
      <w:pPr>
        <w:pStyle w:val="a6"/>
        <w:keepNext/>
        <w:widowControl w:val="0"/>
        <w:tabs>
          <w:tab w:val="left" w:pos="0"/>
          <w:tab w:val="left" w:pos="3271"/>
          <w:tab w:val="left" w:pos="9072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Суточное мониторирование АД проводилось с использованием портативных мониторов системы АВРМ-02 (Венгрия). Эхолокация сердца осуществлялась на универсальном эхокарди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графе с допплеровской приставкой </w:t>
      </w:r>
      <w:r>
        <w:rPr>
          <w:sz w:val="24"/>
          <w:szCs w:val="24"/>
          <w:lang w:val="en-US"/>
        </w:rPr>
        <w:t>Sigma</w:t>
      </w:r>
      <w:r>
        <w:rPr>
          <w:sz w:val="24"/>
          <w:szCs w:val="24"/>
        </w:rPr>
        <w:t xml:space="preserve"> 44 </w:t>
      </w:r>
      <w:r>
        <w:rPr>
          <w:sz w:val="24"/>
          <w:szCs w:val="24"/>
          <w:lang w:val="en-US"/>
        </w:rPr>
        <w:t>HVD</w:t>
      </w:r>
      <w:r>
        <w:rPr>
          <w:sz w:val="24"/>
          <w:szCs w:val="24"/>
        </w:rPr>
        <w:t xml:space="preserve"> фирмы “К</w:t>
      </w:r>
      <w:r>
        <w:rPr>
          <w:sz w:val="24"/>
          <w:szCs w:val="24"/>
          <w:lang w:val="en-US"/>
        </w:rPr>
        <w:t>ontron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Instruments</w:t>
      </w:r>
      <w:r>
        <w:rPr>
          <w:sz w:val="24"/>
          <w:szCs w:val="24"/>
        </w:rPr>
        <w:t>” (Франция). Агр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гация тромбоцитов изучалась на анализаторе агрегации 230 LA НПФ БИОЛА традиционным ту</w:t>
      </w:r>
      <w:r>
        <w:rPr>
          <w:sz w:val="24"/>
          <w:szCs w:val="24"/>
        </w:rPr>
        <w:t>р</w:t>
      </w:r>
      <w:r>
        <w:rPr>
          <w:sz w:val="24"/>
          <w:szCs w:val="24"/>
        </w:rPr>
        <w:t>бодиметрическим методом. Для определения реологических свойств крови и плазмы использова</w:t>
      </w:r>
      <w:r>
        <w:rPr>
          <w:sz w:val="24"/>
          <w:szCs w:val="24"/>
        </w:rPr>
        <w:t>л</w:t>
      </w:r>
      <w:r>
        <w:rPr>
          <w:sz w:val="24"/>
          <w:szCs w:val="24"/>
        </w:rPr>
        <w:t>ся ротационный вискозиметр АКР - 2. Пероральный глюкозотолерантный тест проводился 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дующим образом: глюкоза крови определялась натощак, затем через 1 и 2 часа после 75г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грузки глюкозой. Психоэмоциональное состояние оценивалось по следующим опросникам: «Качество жизни у больных гипертонической болезнью» (стандартизированная анкета, созда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ная на основе </w:t>
      </w:r>
      <w:r>
        <w:rPr>
          <w:sz w:val="24"/>
          <w:szCs w:val="24"/>
          <w:lang w:val="en-US"/>
        </w:rPr>
        <w:t>The</w:t>
      </w:r>
      <w:r w:rsidRPr="00707BF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Goeteborg</w:t>
      </w:r>
      <w:r w:rsidRPr="00707BF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Quality</w:t>
      </w:r>
      <w:r w:rsidRPr="00707BF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</w:t>
      </w:r>
      <w:r w:rsidRPr="00707BF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life</w:t>
      </w:r>
      <w:r w:rsidRPr="00707BF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Instrument</w:t>
      </w:r>
      <w:r w:rsidRPr="00707BFB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GQI</w:t>
      </w:r>
      <w:r w:rsidRPr="00707BFB">
        <w:rPr>
          <w:sz w:val="24"/>
          <w:szCs w:val="24"/>
        </w:rPr>
        <w:t>))</w:t>
      </w:r>
      <w:r>
        <w:rPr>
          <w:sz w:val="24"/>
          <w:szCs w:val="24"/>
        </w:rPr>
        <w:t>, личностная шкала тревоги, шкала депрессии, мод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фицированный цветовой тест Люшера, САН (самочувствие, активность, настроение)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методика СМИЛ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(модифицированный вариант теста </w:t>
      </w:r>
      <w:r>
        <w:rPr>
          <w:sz w:val="24"/>
          <w:szCs w:val="24"/>
          <w:lang w:val="en-US"/>
        </w:rPr>
        <w:t>MMPI</w:t>
      </w:r>
      <w:r>
        <w:rPr>
          <w:sz w:val="24"/>
          <w:szCs w:val="24"/>
        </w:rPr>
        <w:t>), методика УСК (уровень субъективного контр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ля).</w:t>
      </w:r>
    </w:p>
    <w:p w14:paraId="6CA7656D" w14:textId="77777777" w:rsidR="008B1C31" w:rsidRDefault="008B1C31" w:rsidP="003121C5">
      <w:pPr>
        <w:pStyle w:val="a6"/>
        <w:keepNext/>
        <w:widowControl w:val="0"/>
        <w:tabs>
          <w:tab w:val="num" w:pos="426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Лечение больных АГ с метаболическими факторами риска проводилось курсом 8 – 12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дель. 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точные дозы препаратов составили в среднем: эднит – 22,5 ± 11,2 мг, плендил – 8,8 ± 2,1 мг, лог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макс - 7,0/70,0 ± 2,4/24,5 мг, липобай – 0,38 ± 0,06 мг.</w:t>
      </w:r>
    </w:p>
    <w:p w14:paraId="6CEB041A" w14:textId="77777777" w:rsidR="008B1C31" w:rsidRDefault="008B1C31" w:rsidP="003121C5">
      <w:pPr>
        <w:pStyle w:val="20"/>
        <w:keepNext/>
        <w:widowControl w:val="0"/>
        <w:tabs>
          <w:tab w:val="left" w:pos="1418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Для оценки гипотензивного эффекта были приняты три градации: полный, частичный и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точный эффект. Гиполипидемическая эффективность оценивалась по четырем градациям: отли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ный, хороший, удовлетворительный и неудовлетворительный результат.</w:t>
      </w:r>
    </w:p>
    <w:p w14:paraId="0F093CE1" w14:textId="77777777" w:rsidR="008B1C31" w:rsidRDefault="008B1C31" w:rsidP="003121C5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Статистическую обработку результатов проводили методом вариационной и корреляцио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тистики с использованием компьютерной программы </w:t>
      </w:r>
      <w:r>
        <w:rPr>
          <w:sz w:val="24"/>
          <w:szCs w:val="24"/>
          <w:lang w:val="en-US"/>
        </w:rPr>
        <w:t>Ex</w:t>
      </w:r>
      <w:r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>el</w:t>
      </w:r>
      <w:r>
        <w:rPr>
          <w:sz w:val="24"/>
          <w:szCs w:val="24"/>
        </w:rPr>
        <w:t xml:space="preserve"> 7.0.</w:t>
      </w:r>
    </w:p>
    <w:p w14:paraId="707138B6" w14:textId="77777777" w:rsidR="008B1C31" w:rsidRDefault="008B1C31" w:rsidP="00707BFB">
      <w:pPr>
        <w:keepNext/>
        <w:widowControl w:val="0"/>
        <w:numPr>
          <w:ilvl w:val="12"/>
          <w:numId w:val="0"/>
        </w:numPr>
        <w:spacing w:line="360" w:lineRule="auto"/>
        <w:jc w:val="both"/>
      </w:pPr>
    </w:p>
    <w:p w14:paraId="42998811" w14:textId="77777777" w:rsidR="008B1C31" w:rsidRDefault="008B1C31" w:rsidP="00707BFB">
      <w:pPr>
        <w:keepNext/>
        <w:widowControl w:val="0"/>
        <w:numPr>
          <w:ilvl w:val="12"/>
          <w:numId w:val="0"/>
        </w:numPr>
        <w:spacing w:line="360" w:lineRule="auto"/>
        <w:jc w:val="both"/>
      </w:pPr>
    </w:p>
    <w:p w14:paraId="1705C806" w14:textId="77777777" w:rsidR="008B1C31" w:rsidRDefault="008B1C31" w:rsidP="00707BFB">
      <w:pPr>
        <w:pStyle w:val="3"/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РЕЗУЛЬТАТЫ И ИХ ОБСУЖДЕНИЕ</w:t>
      </w:r>
    </w:p>
    <w:p w14:paraId="53D74B78" w14:textId="77777777" w:rsidR="008B1C31" w:rsidRDefault="008B1C31" w:rsidP="00707BFB">
      <w:pPr>
        <w:pStyle w:val="a4"/>
        <w:tabs>
          <w:tab w:val="clear" w:pos="4703"/>
          <w:tab w:val="clear" w:pos="9406"/>
        </w:tabs>
      </w:pPr>
    </w:p>
    <w:p w14:paraId="05772AC4" w14:textId="77777777" w:rsidR="008B1C31" w:rsidRDefault="008B1C31" w:rsidP="00707BFB">
      <w:pPr>
        <w:pStyle w:val="21"/>
        <w:keepNext/>
        <w:widowControl w:val="0"/>
        <w:tabs>
          <w:tab w:val="left" w:pos="2127"/>
        </w:tabs>
        <w:spacing w:line="360" w:lineRule="auto"/>
        <w:ind w:left="0"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Клинико-функциональные особенности</w:t>
      </w:r>
    </w:p>
    <w:p w14:paraId="47B05175" w14:textId="77777777" w:rsidR="008B1C31" w:rsidRDefault="008B1C31" w:rsidP="00707BFB">
      <w:pPr>
        <w:pStyle w:val="21"/>
        <w:keepNext/>
        <w:widowControl w:val="0"/>
        <w:tabs>
          <w:tab w:val="left" w:pos="2127"/>
        </w:tabs>
        <w:spacing w:line="360" w:lineRule="auto"/>
        <w:ind w:left="0"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артериальной гипертонии с метаболическими нарушениями</w:t>
      </w:r>
    </w:p>
    <w:p w14:paraId="5231CE71" w14:textId="77777777" w:rsidR="008B1C31" w:rsidRDefault="008B1C31" w:rsidP="003121C5">
      <w:pPr>
        <w:pStyle w:val="21"/>
        <w:keepNext/>
        <w:widowControl w:val="0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75 обследованных больных были распределены на группы в соответствии с наличием у них мет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болических факторов риска: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группа – больные с изолированной АГ, 7 человек (9,3%);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группа – больные с сочетанием АГ и абдоминального ожирения (АО), 7 человек (9,3%);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группа – больные с комбинацией АГ и дислипидемии, 14 человек (18,7%);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группа – больные с сочет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нием АГ, АО и дислипидемии, 24 человека (32%);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группа – больные с метаболическим синдр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мом, т. е. с 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бинацией АГ, АО, дислипидемии и нарушением толерантности к глюкозе (НТГ) (или инсулиннез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висимым сахарным диабетом ИНСД), 23 человека (30,7%);</w:t>
      </w:r>
    </w:p>
    <w:p w14:paraId="5BC9B631" w14:textId="77777777" w:rsidR="008B1C31" w:rsidRDefault="008B1C31" w:rsidP="003121C5">
      <w:pPr>
        <w:pStyle w:val="20"/>
        <w:keepNext/>
        <w:widowControl w:val="0"/>
        <w:tabs>
          <w:tab w:val="left" w:pos="567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 анализе СМАД в группе больных АГ с метаболическими нарушениями по сравнению с контрольной группой, которую составили больные без нарушений обмена липидов и углеводов выявлены достоверные различия в виде более высоких значений АД, и показателей «нагрузки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вышенным давлением» (рис. №№ 1 - 2), повышение вариабельности АД, а также более частые, чем среди больных ГБ, нарушения суточного ритма АД (табл. №2).</w:t>
      </w:r>
    </w:p>
    <w:p w14:paraId="645F5A47" w14:textId="77777777" w:rsidR="008B1C31" w:rsidRDefault="008B1C31" w:rsidP="00707BFB">
      <w:pPr>
        <w:pStyle w:val="20"/>
        <w:keepNext/>
        <w:widowControl w:val="0"/>
        <w:tabs>
          <w:tab w:val="left" w:pos="567"/>
        </w:tabs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№ 2.</w:t>
      </w:r>
    </w:p>
    <w:p w14:paraId="391745E3" w14:textId="77777777" w:rsidR="008B1C31" w:rsidRDefault="008B1C31" w:rsidP="00707BFB">
      <w:pPr>
        <w:pStyle w:val="a7"/>
        <w:keepNext/>
        <w:widowControl w:val="0"/>
        <w:tabs>
          <w:tab w:val="clear" w:pos="4153"/>
          <w:tab w:val="clear" w:pos="8306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Суточные кривые АД у больных с различным сочетанием </w:t>
      </w:r>
    </w:p>
    <w:p w14:paraId="4CE0E51D" w14:textId="77777777" w:rsidR="008B1C31" w:rsidRDefault="008B1C31" w:rsidP="00707BFB">
      <w:pPr>
        <w:pStyle w:val="a7"/>
        <w:keepNext/>
        <w:widowControl w:val="0"/>
        <w:tabs>
          <w:tab w:val="clear" w:pos="4153"/>
          <w:tab w:val="clear" w:pos="8306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метаболических факторов риска (в %)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248"/>
        <w:gridCol w:w="1347"/>
        <w:gridCol w:w="198"/>
        <w:gridCol w:w="1397"/>
        <w:gridCol w:w="148"/>
        <w:gridCol w:w="1447"/>
        <w:gridCol w:w="99"/>
        <w:gridCol w:w="1496"/>
        <w:gridCol w:w="49"/>
        <w:gridCol w:w="1546"/>
      </w:tblGrid>
      <w:tr w:rsidR="008B1C31" w14:paraId="36463C8C" w14:textId="7777777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AC26698" w14:textId="77777777" w:rsidR="008B1C31" w:rsidRDefault="008B1C31" w:rsidP="00707BFB">
            <w:pPr>
              <w:pStyle w:val="5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затель</w:t>
            </w:r>
          </w:p>
        </w:tc>
        <w:tc>
          <w:tcPr>
            <w:tcW w:w="7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3EE6C5FC" w14:textId="77777777" w:rsidR="008B1C31" w:rsidRDefault="008B1C31" w:rsidP="00707BFB">
            <w:pPr>
              <w:pStyle w:val="1"/>
              <w:widowControl w:val="0"/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больных</w:t>
            </w:r>
          </w:p>
        </w:tc>
      </w:tr>
      <w:tr w:rsidR="008B1C31" w14:paraId="6D1532FE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F8DA532" w14:textId="77777777" w:rsidR="008B1C31" w:rsidRDefault="008B1C31" w:rsidP="00707BFB">
            <w:pPr>
              <w:keepNext/>
              <w:widowControl w:val="0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8073CF1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8B9B1DC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6E90343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42EFFF9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A1EDD1B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8B1C31" w14:paraId="26B4B8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61522079" w14:textId="77777777" w:rsidR="008B1C31" w:rsidRDefault="008B1C31" w:rsidP="00707BFB">
            <w:pPr>
              <w:pStyle w:val="5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суточных кривых по САД</w:t>
            </w:r>
          </w:p>
        </w:tc>
      </w:tr>
      <w:tr w:rsidR="008B1C31" w14:paraId="228426E1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E250099" w14:textId="77777777" w:rsidR="008B1C31" w:rsidRDefault="008B1C31" w:rsidP="00707BFB">
            <w:pPr>
              <w:pStyle w:val="21"/>
              <w:keepNext/>
              <w:widowControl w:val="0"/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Dippers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F99F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3556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F5C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253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531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</w:tr>
      <w:tr w:rsidR="008B1C31" w14:paraId="07CEC3CE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2D4438E" w14:textId="77777777" w:rsidR="008B1C31" w:rsidRDefault="008B1C31" w:rsidP="00707BFB">
            <w:pPr>
              <w:pStyle w:val="21"/>
              <w:keepNext/>
              <w:widowControl w:val="0"/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Non-dippers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72CE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28F8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8DA7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3E86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215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8B1C31" w14:paraId="5CDA51AC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23A7933" w14:textId="77777777" w:rsidR="008B1C31" w:rsidRDefault="008B1C31" w:rsidP="00707BFB">
            <w:pPr>
              <w:pStyle w:val="21"/>
              <w:keepNext/>
              <w:widowControl w:val="0"/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Over-dippers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5851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FD82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3526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D33C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9C4F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8B1C31" w14:paraId="358768E1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E7C1E8F" w14:textId="77777777" w:rsidR="008B1C31" w:rsidRDefault="008B1C31" w:rsidP="00707BFB">
            <w:pPr>
              <w:pStyle w:val="21"/>
              <w:keepNext/>
              <w:widowControl w:val="0"/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Night-peakers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1D14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6CE6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64DB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355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5B53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8B1C31" w14:paraId="77A182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26CF3E9B" w14:textId="77777777" w:rsidR="008B1C31" w:rsidRDefault="008B1C31" w:rsidP="00707BFB">
            <w:pPr>
              <w:pStyle w:val="5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суточных кривых по ДАД</w:t>
            </w:r>
          </w:p>
        </w:tc>
      </w:tr>
      <w:tr w:rsidR="008B1C31" w14:paraId="603E1630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A2B3D71" w14:textId="77777777" w:rsidR="008B1C31" w:rsidRDefault="008B1C31" w:rsidP="00707BFB">
            <w:pPr>
              <w:pStyle w:val="21"/>
              <w:keepNext/>
              <w:widowControl w:val="0"/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Dippers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D292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FF8F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E698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204C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DD98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B1C31" w14:paraId="7BCFDD57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8E626F3" w14:textId="77777777" w:rsidR="008B1C31" w:rsidRDefault="008B1C31" w:rsidP="00707BFB">
            <w:pPr>
              <w:pStyle w:val="21"/>
              <w:keepNext/>
              <w:widowControl w:val="0"/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Non-dippers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0741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0D52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F249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98C8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EB0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</w:tr>
      <w:tr w:rsidR="008B1C31" w14:paraId="319AC1CC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06B56C7" w14:textId="77777777" w:rsidR="008B1C31" w:rsidRDefault="008B1C31" w:rsidP="00707BFB">
            <w:pPr>
              <w:pStyle w:val="21"/>
              <w:keepNext/>
              <w:widowControl w:val="0"/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Over-dippers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FA04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50AE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0C44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334B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8CA1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8B1C31" w14:paraId="7B00995D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90989A0" w14:textId="77777777" w:rsidR="008B1C31" w:rsidRDefault="008B1C31" w:rsidP="00707BFB">
            <w:pPr>
              <w:pStyle w:val="21"/>
              <w:keepNext/>
              <w:widowControl w:val="0"/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Night-peakers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82CA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3AF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22C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7469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8C20" w14:textId="77777777" w:rsidR="008B1C31" w:rsidRDefault="008B1C31" w:rsidP="00707BFB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14:paraId="610891A6" w14:textId="77777777" w:rsidR="008B1C31" w:rsidRDefault="008B1C31" w:rsidP="00707BFB">
      <w:pPr>
        <w:pStyle w:val="20"/>
        <w:keepNext/>
        <w:widowControl w:val="0"/>
        <w:spacing w:line="360" w:lineRule="auto"/>
        <w:rPr>
          <w:sz w:val="2"/>
          <w:szCs w:val="2"/>
        </w:rPr>
      </w:pPr>
    </w:p>
    <w:p w14:paraId="20C879BA" w14:textId="77777777" w:rsidR="008B1C31" w:rsidRDefault="008B1C31" w:rsidP="003121C5">
      <w:pPr>
        <w:pStyle w:val="20"/>
        <w:keepNext/>
        <w:widowControl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группе больных изолированной АГ преобладали лица (43% случаев) с достаточным сн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жением АД во время сна – </w:t>
      </w:r>
      <w:r>
        <w:rPr>
          <w:sz w:val="24"/>
          <w:szCs w:val="24"/>
          <w:lang w:val="en-US"/>
        </w:rPr>
        <w:t>dippers</w:t>
      </w:r>
      <w:r>
        <w:rPr>
          <w:sz w:val="24"/>
          <w:szCs w:val="24"/>
        </w:rPr>
        <w:t>. У 14% пациентов наблюдалась повышенная степень но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ного снижения ДАД. Лица со снижением САД и ДАД в ночное время менее чем на 10% имелись в 57% и 43% соответственно. Суточных профилей с повышением АД в период сна не зарегистрир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вано. </w:t>
      </w:r>
    </w:p>
    <w:p w14:paraId="45F2A80A" w14:textId="77777777" w:rsidR="008B1C31" w:rsidRDefault="008B1C31" w:rsidP="003121C5">
      <w:pPr>
        <w:pStyle w:val="20"/>
        <w:keepNext/>
        <w:widowControl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группах больных АГ с метаболическими нарушениями преобладали лица с устойчивым повыш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нием ночного САД и ДАД в 28 – 52% и 13 – 48% соответственно. Больные с оптимальной степ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нью ночного снижения САД и ДАД встречались в 13 – 26% и 4 – 33% соответственно. </w:t>
      </w:r>
    </w:p>
    <w:p w14:paraId="09256ED0" w14:textId="77777777" w:rsidR="008B1C31" w:rsidRDefault="008B1C31" w:rsidP="003121C5">
      <w:pPr>
        <w:pStyle w:val="20"/>
        <w:keepNext/>
        <w:widowControl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Таким образом, проведенное нами исследование выявило неблагоприятное влияние метаб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лических отклонений на показатели суточного профиля АД, что дает основания для выделения больных АГ с метаболическими расстройствами в группу высокого риска развития серде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но-сосудистых осложнений.</w:t>
      </w:r>
    </w:p>
    <w:p w14:paraId="7C18D99B" w14:textId="77777777" w:rsidR="008B1C31" w:rsidRDefault="008B1C31" w:rsidP="00707BFB">
      <w:pPr>
        <w:keepNext/>
        <w:widowControl w:val="0"/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Рисунок 1.</w:t>
      </w:r>
    </w:p>
    <w:p w14:paraId="60610A6A" w14:textId="77777777" w:rsidR="008B1C31" w:rsidRDefault="008B1C31" w:rsidP="00707BFB">
      <w:pPr>
        <w:pStyle w:val="a7"/>
        <w:keepNext/>
        <w:widowControl w:val="0"/>
        <w:tabs>
          <w:tab w:val="clear" w:pos="4153"/>
          <w:tab w:val="clear" w:pos="8306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Среднесуточное АД и ЧСС у больных АГ с различным сочетанием </w:t>
      </w:r>
    </w:p>
    <w:p w14:paraId="05D96F22" w14:textId="19700C44" w:rsidR="008B1C31" w:rsidRDefault="00DF6904" w:rsidP="00707BFB">
      <w:pPr>
        <w:pStyle w:val="a7"/>
        <w:keepNext/>
        <w:widowControl w:val="0"/>
        <w:tabs>
          <w:tab w:val="clear" w:pos="4153"/>
          <w:tab w:val="clear" w:pos="8306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3485172" wp14:editId="543F3F66">
                <wp:simplePos x="0" y="0"/>
                <wp:positionH relativeFrom="column">
                  <wp:posOffset>464820</wp:posOffset>
                </wp:positionH>
                <wp:positionV relativeFrom="paragraph">
                  <wp:posOffset>257175</wp:posOffset>
                </wp:positionV>
                <wp:extent cx="5852160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4417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20.25pt" to="497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" o:allowincell="f"/>
            </w:pict>
          </mc:Fallback>
        </mc:AlternateContent>
      </w:r>
      <w:r w:rsidR="008B1C31">
        <w:rPr>
          <w:b/>
          <w:bCs/>
          <w:sz w:val="24"/>
          <w:szCs w:val="24"/>
        </w:rPr>
        <w:t>метаболических факторов риска</w:t>
      </w:r>
    </w:p>
    <w:p w14:paraId="0189310A" w14:textId="281FE576" w:rsidR="008B1C31" w:rsidRDefault="00DF6904" w:rsidP="00707BFB">
      <w:pPr>
        <w:pStyle w:val="20"/>
        <w:keepNext/>
        <w:widowControl w:val="0"/>
        <w:tabs>
          <w:tab w:val="left" w:pos="284"/>
        </w:tabs>
        <w:spacing w:line="360" w:lineRule="auto"/>
        <w:jc w:val="right"/>
      </w:pPr>
      <w:r>
        <w:rPr>
          <w:noProof/>
        </w:rPr>
        <w:drawing>
          <wp:inline distT="0" distB="0" distL="0" distR="0" wp14:anchorId="3221CFD5" wp14:editId="03EFF894">
            <wp:extent cx="5819775" cy="31146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72AFD44" w14:textId="77777777" w:rsidR="008B1C31" w:rsidRDefault="008B1C31" w:rsidP="00707BFB">
      <w:pPr>
        <w:pStyle w:val="20"/>
        <w:keepNext/>
        <w:widowControl w:val="0"/>
        <w:tabs>
          <w:tab w:val="left" w:pos="284"/>
        </w:tabs>
        <w:spacing w:line="360" w:lineRule="auto"/>
        <w:jc w:val="right"/>
        <w:rPr>
          <w:b/>
          <w:bCs/>
          <w:sz w:val="24"/>
          <w:szCs w:val="24"/>
        </w:rPr>
      </w:pPr>
    </w:p>
    <w:p w14:paraId="1742C8C3" w14:textId="77777777" w:rsidR="008B1C31" w:rsidRDefault="008B1C31" w:rsidP="00707BFB">
      <w:pPr>
        <w:pStyle w:val="20"/>
        <w:keepNext/>
        <w:widowControl w:val="0"/>
        <w:tabs>
          <w:tab w:val="left" w:pos="284"/>
        </w:tabs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Рисунок 2.</w:t>
      </w:r>
    </w:p>
    <w:p w14:paraId="781CA283" w14:textId="77777777" w:rsidR="008B1C31" w:rsidRDefault="008B1C31" w:rsidP="00707BFB">
      <w:pPr>
        <w:pStyle w:val="a6"/>
        <w:keepNext/>
        <w:widowControl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Показатели «нагрузки повышенным давлением» у больных АГ </w:t>
      </w:r>
    </w:p>
    <w:p w14:paraId="7D937096" w14:textId="77777777" w:rsidR="008B1C31" w:rsidRDefault="008B1C31" w:rsidP="00707BFB">
      <w:pPr>
        <w:pStyle w:val="a6"/>
        <w:keepNext/>
        <w:widowControl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различными метаболическими нарушениями</w:t>
      </w:r>
    </w:p>
    <w:p w14:paraId="1C532FCB" w14:textId="4702DF30" w:rsidR="008B1C31" w:rsidRDefault="00DF6904" w:rsidP="00707BFB">
      <w:pPr>
        <w:pStyle w:val="20"/>
        <w:keepNext/>
        <w:widowControl w:val="0"/>
        <w:tabs>
          <w:tab w:val="left" w:pos="284"/>
        </w:tabs>
        <w:spacing w:line="240" w:lineRule="auto"/>
        <w:jc w:val="center"/>
      </w:pPr>
      <w:r>
        <w:rPr>
          <w:noProof/>
        </w:rPr>
        <w:drawing>
          <wp:inline distT="0" distB="0" distL="0" distR="0" wp14:anchorId="562EE137" wp14:editId="301F977A">
            <wp:extent cx="5762625" cy="30289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E5D379E" w14:textId="77777777" w:rsidR="008B1C31" w:rsidRDefault="008B1C31" w:rsidP="00707BFB">
      <w:pPr>
        <w:pStyle w:val="20"/>
        <w:keepNext/>
        <w:widowControl w:val="0"/>
        <w:spacing w:line="360" w:lineRule="auto"/>
        <w:rPr>
          <w:sz w:val="24"/>
          <w:szCs w:val="24"/>
        </w:rPr>
      </w:pPr>
    </w:p>
    <w:p w14:paraId="192B7D12" w14:textId="77777777" w:rsidR="008B1C31" w:rsidRDefault="008B1C31" w:rsidP="00707BFB">
      <w:pPr>
        <w:pStyle w:val="20"/>
        <w:keepNext/>
        <w:widowControl w:val="0"/>
        <w:spacing w:line="360" w:lineRule="auto"/>
        <w:rPr>
          <w:sz w:val="24"/>
          <w:szCs w:val="24"/>
        </w:rPr>
      </w:pPr>
    </w:p>
    <w:p w14:paraId="3469D8C2" w14:textId="77777777" w:rsidR="008B1C31" w:rsidRDefault="008B1C31" w:rsidP="003121C5">
      <w:pPr>
        <w:pStyle w:val="20"/>
        <w:keepNext/>
        <w:widowControl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 исследовании показателей центральной гемодинамики выявлено, что у больных изол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АГ гипертрофия миокарда левого желудочка (ГМЛЖ) встречается в 25% случаев, в то время как у больных АГ с метаболическими нарушениями - в 42 – 79%. У больных АГ в соч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тании с АО и пациентов с метаболическим синдромом Х достоверно выше КДО, чем у лиц с изолирова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АГ. Достоверных отличий величины ФВ между группами не зарегистрировано. У больных АГ без метаболических нарушений в 57% случаев отмечено нарушение диастолич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ской функции ЛЖ, а при присоединении метаболических факторов риска частота нарушений диастолической фун</w:t>
      </w:r>
      <w:r>
        <w:rPr>
          <w:sz w:val="24"/>
          <w:szCs w:val="24"/>
        </w:rPr>
        <w:t>к</w:t>
      </w:r>
      <w:r>
        <w:rPr>
          <w:sz w:val="24"/>
          <w:szCs w:val="24"/>
        </w:rPr>
        <w:t>ции ЛЖ возрастает до 67 – 80%.</w:t>
      </w:r>
    </w:p>
    <w:p w14:paraId="5BAD4D50" w14:textId="77777777" w:rsidR="008B1C31" w:rsidRDefault="008B1C31" w:rsidP="003121C5">
      <w:pPr>
        <w:pStyle w:val="20"/>
        <w:keepNext/>
        <w:widowControl w:val="0"/>
        <w:tabs>
          <w:tab w:val="left" w:pos="567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Больные АГ в сочетании с метаболическими нарушениями чаще имеют нарушения реолог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ческих свойств крови. Выявлено достоверное повышение вязкости крови и плазмы, увеличение индуцированной агрегации тромбоцитов и ее скорости у пациентов с сопутствующими метабол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ческими факторами риска. Индекс агрегации эритроцитов (ИАЭ) и уровень фибриногена дост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верно выше у больных с сочетанием АГ и дислипидемии, а также при метаболич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ском синдроме Х (табл. №3).</w:t>
      </w:r>
    </w:p>
    <w:p w14:paraId="227BD0CE" w14:textId="77777777" w:rsidR="008B1C31" w:rsidRDefault="008B1C31" w:rsidP="00707BFB">
      <w:pPr>
        <w:pStyle w:val="a5"/>
        <w:keepNext/>
        <w:pageBreakBefore w:val="0"/>
        <w:widowControl w:val="0"/>
        <w:ind w:left="0" w:right="0"/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№3.</w:t>
      </w:r>
    </w:p>
    <w:p w14:paraId="0306210B" w14:textId="77777777" w:rsidR="008B1C31" w:rsidRDefault="008B1C31" w:rsidP="00707BFB">
      <w:pPr>
        <w:pStyle w:val="a5"/>
        <w:keepNext/>
        <w:pageBreakBefore w:val="0"/>
        <w:widowControl w:val="0"/>
        <w:ind w:left="0"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Показатели тробоцитарного гемостаза и реологических свойств </w:t>
      </w:r>
    </w:p>
    <w:p w14:paraId="1D2E4AEF" w14:textId="77777777" w:rsidR="008B1C31" w:rsidRDefault="008B1C31" w:rsidP="00707BFB">
      <w:pPr>
        <w:pStyle w:val="a5"/>
        <w:keepNext/>
        <w:pageBreakBefore w:val="0"/>
        <w:widowControl w:val="0"/>
        <w:ind w:left="0"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крови у больных АГ с метаболическими нарушениями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1531"/>
        <w:gridCol w:w="1531"/>
        <w:gridCol w:w="1531"/>
        <w:gridCol w:w="1531"/>
        <w:gridCol w:w="1532"/>
      </w:tblGrid>
      <w:tr w:rsidR="008B1C31" w14:paraId="14E8AD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13FD858D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7FF92AB7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больных</w:t>
            </w:r>
          </w:p>
        </w:tc>
      </w:tr>
      <w:tr w:rsidR="008B1C31" w14:paraId="452A66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3D43042B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F03AD8D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B25E272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76D22A7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0D74872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E0306D8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8B1C31" w14:paraId="0E32CF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6AF35DC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мкМ АДФ - инд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цированная а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регация тромбоцитов (о. е.)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DB78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20,8±5,3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33F4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40,5±1,0</w:t>
            </w:r>
          </w:p>
          <w:p w14:paraId="1AFEFBAC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BC4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51,4±7,2</w:t>
            </w:r>
          </w:p>
          <w:p w14:paraId="67753693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A695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46,1±8,7</w:t>
            </w:r>
          </w:p>
          <w:p w14:paraId="37F25B4D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6326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38,3±4,7</w:t>
            </w:r>
          </w:p>
          <w:p w14:paraId="4ED9A243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8B1C31" w14:paraId="09B099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E3D7F49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агр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гации (о. е. / мин)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E664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0,25±0,04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6020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0,68±0,12</w:t>
            </w:r>
          </w:p>
          <w:p w14:paraId="22635E47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9B8A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0,79±0,24</w:t>
            </w:r>
          </w:p>
          <w:p w14:paraId="6C6FDD7D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F4E1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0,76±0,33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27F1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0,75±0,18</w:t>
            </w:r>
          </w:p>
          <w:p w14:paraId="4E7C17F9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8B1C31" w14:paraId="13E77E6C" w14:textId="77777777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70FE296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Вязкость кр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 (СП)</w:t>
            </w:r>
          </w:p>
          <w:p w14:paraId="17747B5F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AE0C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3,66±0,15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797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4,16±0,27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E8A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4,15±0,16</w:t>
            </w:r>
          </w:p>
          <w:p w14:paraId="0D38F74D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F7D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4,01±0,10</w:t>
            </w:r>
          </w:p>
          <w:p w14:paraId="461D594B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67E3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4,51±0,28</w:t>
            </w:r>
          </w:p>
          <w:p w14:paraId="245960E9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8B1C31" w14:paraId="1E97CA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2E9BC6B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ИАЭ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1DC7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1,26±0,03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2B05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1,32±0,04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1C7B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1,35±0,02*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8755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1,30±0,03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89E4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1,37±0,02</w:t>
            </w:r>
            <w:r>
              <w:rPr>
                <w:spacing w:val="-42"/>
                <w:sz w:val="24"/>
                <w:szCs w:val="24"/>
              </w:rPr>
              <w:t>**</w:t>
            </w:r>
          </w:p>
        </w:tc>
      </w:tr>
      <w:tr w:rsidR="008B1C31" w14:paraId="3BEB45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045D51D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83B7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1,11±0,01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693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1,09±0,01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B01A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1,05±0,05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A219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1,09±0,01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6BF4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1,17±0,03</w:t>
            </w:r>
          </w:p>
        </w:tc>
      </w:tr>
      <w:tr w:rsidR="008B1C31" w14:paraId="72024F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BD38C57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Фибриноген</w:t>
            </w:r>
          </w:p>
          <w:p w14:paraId="0DBBB75B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(мг/дл)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D80D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312,8 ±</w:t>
            </w:r>
          </w:p>
          <w:p w14:paraId="44EE5B31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3302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465,5 ±</w:t>
            </w:r>
          </w:p>
          <w:p w14:paraId="6C0A7CC9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1989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364,9 ±</w:t>
            </w:r>
          </w:p>
          <w:p w14:paraId="737A99F9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D34D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440,1 ±</w:t>
            </w:r>
          </w:p>
          <w:p w14:paraId="46C415E7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19,8**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0C17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427,9 ±</w:t>
            </w:r>
          </w:p>
          <w:p w14:paraId="03A1D202" w14:textId="77777777" w:rsidR="008B1C31" w:rsidRDefault="008B1C31" w:rsidP="00707BFB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18,5**</w:t>
            </w:r>
          </w:p>
        </w:tc>
      </w:tr>
    </w:tbl>
    <w:p w14:paraId="5DBA34FE" w14:textId="77777777" w:rsidR="008B1C31" w:rsidRDefault="008B1C31" w:rsidP="00707BFB">
      <w:pPr>
        <w:pStyle w:val="20"/>
        <w:keepNext/>
        <w:widowControl w:val="0"/>
        <w:tabs>
          <w:tab w:val="left" w:pos="567"/>
        </w:tabs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* р &lt; 0,05, ** р &lt; 0,01, *** р &lt; 0,001 – достоверность отличия с </w:t>
      </w:r>
      <w:r>
        <w:rPr>
          <w:i/>
          <w:iCs/>
          <w:sz w:val="24"/>
          <w:szCs w:val="24"/>
          <w:lang w:val="en-US"/>
        </w:rPr>
        <w:t>I</w:t>
      </w:r>
      <w:r>
        <w:rPr>
          <w:i/>
          <w:iCs/>
          <w:sz w:val="24"/>
          <w:szCs w:val="24"/>
        </w:rPr>
        <w:t xml:space="preserve"> группой</w:t>
      </w:r>
    </w:p>
    <w:p w14:paraId="4B8FCF9C" w14:textId="77777777" w:rsidR="008B1C31" w:rsidRDefault="008B1C31" w:rsidP="003121C5">
      <w:pPr>
        <w:pStyle w:val="20"/>
        <w:keepNext/>
        <w:widowControl w:val="0"/>
        <w:tabs>
          <w:tab w:val="left" w:pos="567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Таким образом, распространенность реологических нарушений и ГМЛЖ среди пациентов с метаболическим синдромом, а также их роль в качестве факторов риска делает необходимым ра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нее их выявление и коррекцию для улучшения течения и прогноза АГ.</w:t>
      </w:r>
    </w:p>
    <w:p w14:paraId="671C7D9E" w14:textId="77777777" w:rsidR="008B1C31" w:rsidRDefault="008B1C31" w:rsidP="003121C5">
      <w:pPr>
        <w:pStyle w:val="20"/>
        <w:keepNext/>
        <w:widowControl w:val="0"/>
        <w:tabs>
          <w:tab w:val="left" w:pos="567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Выявлена тенденция, заключающаяся в преобладании у больных АГ с метаболическими факторами риска расстройств невротического регистра и достоверного снижения САН, в отл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чие от тех больных, у которых эти факторы риска отсутствовали (рис. 3). У пациентов с несколькими метаб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лическими факторами риска, по сравнению с больными АГ без метаболических нарушений выявлен более высокий уровень эмоциональной напряженности, импульсивности, ригидности а</w:t>
      </w:r>
      <w:r>
        <w:rPr>
          <w:sz w:val="24"/>
          <w:szCs w:val="24"/>
        </w:rPr>
        <w:t>ф</w:t>
      </w:r>
      <w:r>
        <w:rPr>
          <w:sz w:val="24"/>
          <w:szCs w:val="24"/>
        </w:rPr>
        <w:t xml:space="preserve">фекта, тревожности и индивидуальности. Результаты анализа </w:t>
      </w:r>
      <w:r>
        <w:rPr>
          <w:sz w:val="24"/>
          <w:szCs w:val="24"/>
          <w:lang w:val="en-US"/>
        </w:rPr>
        <w:t>MMPI</w:t>
      </w:r>
      <w:r>
        <w:rPr>
          <w:sz w:val="24"/>
          <w:szCs w:val="24"/>
        </w:rPr>
        <w:t xml:space="preserve"> выявили наличие невротич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ских и ипохондрических особенностей личности у 14,3% пациентов с АГ без метаболических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рушений и более чем у 50% больных АГ с метаболическими расстройствами. При анализе теста Люшера у больных АГ все варианты цветовых выборок были условно разд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лены на типичные и нетипичные профили реагирования. Типичные профили реагирования встречались у 55% больных АГ с метаболическими факторами риска и у 61% больных изолир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ванной АГ.</w:t>
      </w:r>
    </w:p>
    <w:p w14:paraId="4B0C1075" w14:textId="77777777" w:rsidR="008B1C31" w:rsidRDefault="008B1C31" w:rsidP="003121C5">
      <w:pPr>
        <w:pStyle w:val="20"/>
        <w:keepNext/>
        <w:widowControl w:val="0"/>
        <w:tabs>
          <w:tab w:val="left" w:pos="567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 проведении корреляционного анализа установлены корреляционные взаимосвязи ме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ду ИММЛЖ и среднесуточным САД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0,45, р 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 xml:space="preserve"> 0,05), индексом площади САДср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0,51, р 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 xml:space="preserve"> 0,05), вариабельностью ДАД в период бодрствования (</w:t>
      </w:r>
      <w:r>
        <w:rPr>
          <w:sz w:val="24"/>
          <w:szCs w:val="24"/>
          <w:lang w:val="en-US"/>
        </w:rPr>
        <w:t>r</w:t>
      </w:r>
      <w:r w:rsidRPr="00707B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0,38, р 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 xml:space="preserve"> 0,05). Также выявлено неблаг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приятное влияние метаболических нарушений на показатели суточного профиля АД. Это подтве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ждается наличием корреляционной связи между содержанием глюкозы в крови натощак и средн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суто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ным САД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0,44, р &lt; 0,05), САД во время бодрствования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0,32, р &lt; 0,05), в ночное время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0,38, р &lt; 0,05). О неблагоприятном прогностическом значении повышения показателя ИМТ свидетельствует установленная прямая связь значения показателя с содержанием в кр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ви ТГ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0,31, р &lt; 0,05), ОХС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0,30, р &lt; 0,05), фибриногена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0,41, р &lt; 0,05). Большая прогностическая значимость показателя ИМТ подтверждается его связью с вариабельностью дневн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САД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0,25, р &lt; 0,05) и ДАД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0,32, р &lt; 0,05), при повышенных значениях которого значительно возра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тает риск поражения органов - мишеней.</w:t>
      </w:r>
    </w:p>
    <w:p w14:paraId="28E02E39" w14:textId="77777777" w:rsidR="008B1C31" w:rsidRDefault="008B1C31" w:rsidP="003121C5">
      <w:pPr>
        <w:keepNext/>
        <w:widowControl w:val="0"/>
        <w:tabs>
          <w:tab w:val="left" w:pos="567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сопоставлении реологических характеристик крови с показателями гемодинамики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наружены корреляционные зависимости. Так, между сердечным индексом и основным показат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лем гем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реологии – вязкостью крови – установлена обратная корреляционная связь              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- 0,40, р &lt; 0,05). Менее выраженная прямая корреляционная зависимость обнаружена между ОПСС и вязк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стью крови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0,26, р &lt; 0,05). Таким образом, отмечено преобладание в группе больных с гипокинетическим вариантом кровообращения лиц с высокими показателями реол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гии крови.</w:t>
      </w:r>
    </w:p>
    <w:p w14:paraId="3B5A12C1" w14:textId="77777777" w:rsidR="008B1C31" w:rsidRDefault="008B1C31" w:rsidP="00707BFB">
      <w:pPr>
        <w:pStyle w:val="20"/>
        <w:keepNext/>
        <w:widowControl w:val="0"/>
        <w:tabs>
          <w:tab w:val="left" w:pos="567"/>
        </w:tabs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Рисунок 3.</w:t>
      </w:r>
    </w:p>
    <w:p w14:paraId="098E4BFC" w14:textId="77777777" w:rsidR="008B1C31" w:rsidRDefault="008B1C31" w:rsidP="00707BFB">
      <w:pPr>
        <w:pStyle w:val="20"/>
        <w:keepNext/>
        <w:widowControl w:val="0"/>
        <w:tabs>
          <w:tab w:val="left" w:pos="567"/>
        </w:tabs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Психологические особенности у больных АГ с метаболическими нарушениями</w:t>
      </w:r>
    </w:p>
    <w:p w14:paraId="3305BC2B" w14:textId="77777777" w:rsidR="008B1C31" w:rsidRDefault="008B1C31" w:rsidP="00707BFB">
      <w:pPr>
        <w:pStyle w:val="20"/>
        <w:keepNext/>
        <w:widowControl w:val="0"/>
        <w:tabs>
          <w:tab w:val="left" w:pos="567"/>
        </w:tabs>
        <w:spacing w:line="360" w:lineRule="auto"/>
        <w:jc w:val="right"/>
        <w:rPr>
          <w:b/>
          <w:bCs/>
          <w:sz w:val="24"/>
          <w:szCs w:val="24"/>
        </w:rPr>
      </w:pPr>
    </w:p>
    <w:p w14:paraId="7E108B3E" w14:textId="77777777" w:rsidR="008B1C31" w:rsidRDefault="008B1C31" w:rsidP="00707BFB">
      <w:pPr>
        <w:pStyle w:val="20"/>
        <w:keepNext/>
        <w:widowControl w:val="0"/>
        <w:tabs>
          <w:tab w:val="left" w:pos="567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Самочувствие ( </w:t>
      </w:r>
      <w:r>
        <w:sym w:font="Symbol" w:char="F0E0"/>
      </w:r>
      <w:r>
        <w:rPr>
          <w:b/>
          <w:bCs/>
          <w:sz w:val="24"/>
          <w:szCs w:val="24"/>
        </w:rPr>
        <w:t xml:space="preserve"> ) , активность ( </w:t>
      </w:r>
      <w:r>
        <w:rPr>
          <w:b/>
          <w:bCs/>
          <w:color w:val="C0C0C0"/>
          <w:sz w:val="24"/>
          <w:szCs w:val="24"/>
        </w:rPr>
        <w:sym w:font="Monotype Sorts" w:char="F06E"/>
      </w:r>
      <w:r>
        <w:rPr>
          <w:b/>
          <w:bCs/>
          <w:color w:val="C0C0C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), настроение ( </w:t>
      </w:r>
      <w:r>
        <w:rPr>
          <w:b/>
          <w:bCs/>
          <w:sz w:val="24"/>
          <w:szCs w:val="24"/>
        </w:rPr>
        <w:sym w:font="Monotype Sorts" w:char="F073"/>
      </w:r>
      <w:r>
        <w:rPr>
          <w:b/>
          <w:bCs/>
          <w:sz w:val="24"/>
          <w:szCs w:val="24"/>
        </w:rPr>
        <w:t xml:space="preserve"> )</w:t>
      </w:r>
    </w:p>
    <w:p w14:paraId="5BBAD09E" w14:textId="5958007E" w:rsidR="008B1C31" w:rsidRDefault="00DF6904" w:rsidP="00707BFB">
      <w:pPr>
        <w:pStyle w:val="30"/>
        <w:widowControl w:val="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F82D5B8" wp14:editId="71656170">
            <wp:extent cx="4886325" cy="18288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8E22A6C" w14:textId="77777777" w:rsidR="008B1C31" w:rsidRDefault="008B1C31" w:rsidP="00707BFB">
      <w:pPr>
        <w:pStyle w:val="30"/>
        <w:widowControl w:val="0"/>
        <w:ind w:firstLine="0"/>
        <w:jc w:val="center"/>
        <w:rPr>
          <w:b/>
          <w:bCs/>
          <w:sz w:val="24"/>
          <w:szCs w:val="24"/>
          <w:u w:val="single"/>
        </w:rPr>
      </w:pPr>
    </w:p>
    <w:p w14:paraId="07822FBA" w14:textId="77777777" w:rsidR="008B1C31" w:rsidRDefault="008B1C31" w:rsidP="00707BFB">
      <w:pPr>
        <w:pStyle w:val="30"/>
        <w:widowControl w:val="0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Тревога </w:t>
      </w:r>
      <w:r>
        <w:rPr>
          <w:b/>
          <w:bCs/>
          <w:color w:val="000000"/>
          <w:sz w:val="24"/>
          <w:szCs w:val="24"/>
        </w:rPr>
        <w:t xml:space="preserve">( </w:t>
      </w:r>
      <w:r>
        <w:rPr>
          <w:b/>
          <w:bCs/>
          <w:color w:val="000000"/>
          <w:sz w:val="24"/>
          <w:szCs w:val="24"/>
        </w:rPr>
        <w:sym w:font="Monotype Sorts" w:char="F06E"/>
      </w:r>
      <w:r>
        <w:rPr>
          <w:b/>
          <w:bCs/>
          <w:color w:val="000000"/>
          <w:sz w:val="24"/>
          <w:szCs w:val="24"/>
        </w:rPr>
        <w:t xml:space="preserve"> ), депрессия ( </w:t>
      </w:r>
      <w:r>
        <w:rPr>
          <w:b/>
          <w:bCs/>
          <w:color w:val="C0C0C0"/>
          <w:sz w:val="24"/>
          <w:szCs w:val="24"/>
        </w:rPr>
        <w:sym w:font="Monotype Sorts" w:char="F073"/>
      </w:r>
      <w:r>
        <w:rPr>
          <w:b/>
          <w:bCs/>
          <w:color w:val="000000"/>
          <w:sz w:val="24"/>
          <w:szCs w:val="24"/>
        </w:rPr>
        <w:t xml:space="preserve"> )</w:t>
      </w:r>
    </w:p>
    <w:p w14:paraId="286DB8C8" w14:textId="3C5DD18C" w:rsidR="008B1C31" w:rsidRDefault="00DF6904" w:rsidP="00707BFB">
      <w:pPr>
        <w:pStyle w:val="30"/>
        <w:widowControl w:val="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94DCC69" wp14:editId="1715DA21">
            <wp:extent cx="4886325" cy="18288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4568BB4" w14:textId="77777777" w:rsidR="008B1C31" w:rsidRDefault="008B1C31" w:rsidP="00707BFB">
      <w:pPr>
        <w:pStyle w:val="30"/>
        <w:widowControl w:val="0"/>
        <w:ind w:firstLine="0"/>
        <w:jc w:val="center"/>
        <w:rPr>
          <w:b/>
          <w:bCs/>
          <w:sz w:val="24"/>
          <w:szCs w:val="24"/>
        </w:rPr>
      </w:pPr>
    </w:p>
    <w:p w14:paraId="573A30F6" w14:textId="77777777" w:rsidR="008B1C31" w:rsidRDefault="008B1C31" w:rsidP="00707BFB">
      <w:pPr>
        <w:pStyle w:val="30"/>
        <w:widowControl w:val="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Качество жизни</w:t>
      </w:r>
    </w:p>
    <w:p w14:paraId="6E752C86" w14:textId="74A5DCAB" w:rsidR="008B1C31" w:rsidRDefault="00DF6904" w:rsidP="00707BFB">
      <w:pPr>
        <w:pStyle w:val="30"/>
        <w:widowControl w:val="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78A7A671" wp14:editId="0D363BEE">
            <wp:extent cx="4886325" cy="18288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03A04BF" w14:textId="77777777" w:rsidR="008B1C31" w:rsidRDefault="008B1C31" w:rsidP="00707BFB">
      <w:pPr>
        <w:pStyle w:val="20"/>
        <w:keepNext/>
        <w:widowControl w:val="0"/>
        <w:tabs>
          <w:tab w:val="left" w:pos="567"/>
        </w:tabs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* р &lt; 0,05, ** р &lt; 0,01 – достоверность отличия с </w:t>
      </w:r>
      <w:r>
        <w:rPr>
          <w:i/>
          <w:iCs/>
          <w:sz w:val="24"/>
          <w:szCs w:val="24"/>
          <w:lang w:val="en-US"/>
        </w:rPr>
        <w:t>I</w:t>
      </w:r>
      <w:r>
        <w:rPr>
          <w:i/>
          <w:iCs/>
          <w:sz w:val="24"/>
          <w:szCs w:val="24"/>
        </w:rPr>
        <w:t xml:space="preserve"> группой</w:t>
      </w:r>
    </w:p>
    <w:p w14:paraId="6CD4D4CC" w14:textId="77777777" w:rsidR="008B1C31" w:rsidRDefault="008B1C31" w:rsidP="00707BFB">
      <w:pPr>
        <w:pStyle w:val="30"/>
        <w:widowControl w:val="0"/>
        <w:ind w:firstLine="0"/>
        <w:jc w:val="center"/>
        <w:rPr>
          <w:b/>
          <w:bCs/>
          <w:sz w:val="24"/>
          <w:szCs w:val="24"/>
        </w:rPr>
      </w:pPr>
    </w:p>
    <w:p w14:paraId="3BF485E7" w14:textId="77777777" w:rsidR="008B1C31" w:rsidRDefault="008B1C31" w:rsidP="00707BFB">
      <w:pPr>
        <w:pStyle w:val="30"/>
        <w:widowControl w:val="0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Эффективность и переносимость гипотензивной терапии </w:t>
      </w:r>
    </w:p>
    <w:p w14:paraId="2EC1C90F" w14:textId="77777777" w:rsidR="008B1C31" w:rsidRDefault="008B1C31" w:rsidP="00707BFB">
      <w:pPr>
        <w:pStyle w:val="30"/>
        <w:widowControl w:val="0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эднитом, плендилом и логимаксом;</w:t>
      </w:r>
    </w:p>
    <w:p w14:paraId="5B4B0BA1" w14:textId="77777777" w:rsidR="008B1C31" w:rsidRDefault="008B1C31" w:rsidP="00707BFB">
      <w:pPr>
        <w:pStyle w:val="30"/>
        <w:widowControl w:val="0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сочетания антигипертензивной и гиполипидемической терапии</w:t>
      </w:r>
    </w:p>
    <w:p w14:paraId="690A0EC1" w14:textId="77777777" w:rsidR="008B1C31" w:rsidRDefault="008B1C31" w:rsidP="003121C5">
      <w:pPr>
        <w:pStyle w:val="30"/>
        <w:widowControl w:val="0"/>
        <w:rPr>
          <w:sz w:val="24"/>
          <w:szCs w:val="24"/>
        </w:rPr>
      </w:pPr>
      <w:r>
        <w:rPr>
          <w:sz w:val="24"/>
          <w:szCs w:val="24"/>
        </w:rPr>
        <w:t>В нашем исследовании подтверждается высокая гипотензивная эффективность изучаемых преп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ратов (рис 4). Наибольшая эффективность наблюдалась при применении комбинированного 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парата - логимакса.</w:t>
      </w:r>
    </w:p>
    <w:p w14:paraId="41E4F833" w14:textId="77777777" w:rsidR="008B1C31" w:rsidRDefault="008B1C31" w:rsidP="00707BFB">
      <w:pPr>
        <w:keepNext/>
        <w:widowControl w:val="0"/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Рисунок 4.</w:t>
      </w:r>
    </w:p>
    <w:p w14:paraId="0812A08F" w14:textId="77777777" w:rsidR="008B1C31" w:rsidRDefault="008B1C31" w:rsidP="00707BFB">
      <w:pPr>
        <w:pStyle w:val="a6"/>
        <w:keepNext/>
        <w:widowControl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Гипотензивная эффективность изучаемых препаратов</w:t>
      </w:r>
    </w:p>
    <w:p w14:paraId="4DA6543B" w14:textId="77777777" w:rsidR="008B1C31" w:rsidRDefault="008B1C31" w:rsidP="00707BFB">
      <w:pPr>
        <w:pStyle w:val="a6"/>
        <w:keepNext/>
        <w:widowControl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результатам традиционного измерения АД (в 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3254"/>
        <w:gridCol w:w="3254"/>
      </w:tblGrid>
      <w:tr w:rsidR="008B1C31" w14:paraId="59FA8346" w14:textId="77777777">
        <w:tblPrEx>
          <w:tblCellMar>
            <w:top w:w="0" w:type="dxa"/>
            <w:bottom w:w="0" w:type="dxa"/>
          </w:tblCellMar>
        </w:tblPrEx>
        <w:trPr>
          <w:cantSplit/>
          <w:trHeight w:val="2803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FA43D0" w14:textId="3AC27514" w:rsidR="008B1C31" w:rsidRDefault="00DF6904" w:rsidP="00707BFB">
            <w:pPr>
              <w:pStyle w:val="30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4869629F" wp14:editId="13FF0DD6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1750695</wp:posOffset>
                      </wp:positionV>
                      <wp:extent cx="274320" cy="182880"/>
                      <wp:effectExtent l="0" t="0" r="0" b="0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3F9C9" id="Rectangle 4" o:spid="_x0000_s1026" style="position:absolute;margin-left:246.15pt;margin-top:137.85pt;width:21.6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" o:allowincell="f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DF9504C" wp14:editId="7DD9177D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1750695</wp:posOffset>
                      </wp:positionV>
                      <wp:extent cx="274320" cy="182880"/>
                      <wp:effectExtent l="0" t="0" r="0" b="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B3608" id="Rectangle 5" o:spid="_x0000_s1026" style="position:absolute;margin-left:116.55pt;margin-top:137.85pt;width:21.6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" o:allowincell="f" fillcolor="silver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08A219E" wp14:editId="0098A2E8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1750695</wp:posOffset>
                      </wp:positionV>
                      <wp:extent cx="274320" cy="182880"/>
                      <wp:effectExtent l="0" t="0" r="0" b="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F7A46" id="Rectangle 6" o:spid="_x0000_s1026" style="position:absolute;margin-left:8.55pt;margin-top:137.85pt;width:21.6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Z9IAIAADs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" o:allowincell="f"/>
                  </w:pict>
                </mc:Fallback>
              </mc:AlternateContent>
            </w:r>
          </w:p>
          <w:p w14:paraId="1C083704" w14:textId="77777777" w:rsidR="008B1C31" w:rsidRDefault="008B1C31" w:rsidP="00707BFB">
            <w:pPr>
              <w:pStyle w:val="30"/>
              <w:widowControl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Терапия эднитом</w:t>
            </w:r>
          </w:p>
          <w:p w14:paraId="02334DA1" w14:textId="3F43D13D" w:rsidR="008B1C31" w:rsidRDefault="00DF6904" w:rsidP="00707BFB">
            <w:pPr>
              <w:pStyle w:val="30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2A93622" wp14:editId="6938B34F">
                  <wp:extent cx="1800225" cy="1104900"/>
                  <wp:effectExtent l="0" t="0" r="0" b="0"/>
                  <wp:docPr id="6" name="Объект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35C8CF" w14:textId="77777777" w:rsidR="008B1C31" w:rsidRDefault="008B1C31" w:rsidP="00707BFB">
            <w:pPr>
              <w:pStyle w:val="3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7B656894" w14:textId="77777777" w:rsidR="008B1C31" w:rsidRDefault="008B1C31" w:rsidP="00707BFB">
            <w:pPr>
              <w:pStyle w:val="30"/>
              <w:widowControl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Терапия плендилом</w:t>
            </w:r>
          </w:p>
          <w:p w14:paraId="7C69F7DE" w14:textId="6DC6795F" w:rsidR="008B1C31" w:rsidRDefault="00DF6904" w:rsidP="00707BFB">
            <w:pPr>
              <w:pStyle w:val="30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08EA492" wp14:editId="54B98F97">
                  <wp:extent cx="1752600" cy="1066800"/>
                  <wp:effectExtent l="0" t="0" r="0" b="0"/>
                  <wp:docPr id="7" name="Объект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56ED92" w14:textId="77777777" w:rsidR="008B1C31" w:rsidRDefault="008B1C31" w:rsidP="00707BFB">
            <w:pPr>
              <w:pStyle w:val="3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09E4BF80" w14:textId="77777777" w:rsidR="008B1C31" w:rsidRDefault="008B1C31" w:rsidP="00707BFB">
            <w:pPr>
              <w:pStyle w:val="30"/>
              <w:widowControl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Терапия логимаксом</w:t>
            </w:r>
          </w:p>
          <w:p w14:paraId="27935397" w14:textId="0A681732" w:rsidR="008B1C31" w:rsidRDefault="00DF6904" w:rsidP="00707BFB">
            <w:pPr>
              <w:pStyle w:val="30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B4C564C" wp14:editId="323084EC">
                  <wp:extent cx="1809750" cy="1066800"/>
                  <wp:effectExtent l="0" t="0" r="0" b="0"/>
                  <wp:docPr id="8" name="Объект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8B1C31" w14:paraId="3F1FFC06" w14:textId="77777777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97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EFD7" w14:textId="77777777" w:rsidR="008B1C31" w:rsidRDefault="008B1C31" w:rsidP="00707BFB">
            <w:pPr>
              <w:pStyle w:val="30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- полный                     - частичный                     - недостаточный эффект</w:t>
            </w:r>
          </w:p>
        </w:tc>
      </w:tr>
    </w:tbl>
    <w:p w14:paraId="491441D4" w14:textId="77777777" w:rsidR="008B1C31" w:rsidRDefault="008B1C31" w:rsidP="00707BFB">
      <w:pPr>
        <w:pStyle w:val="30"/>
        <w:widowControl w:val="0"/>
        <w:ind w:firstLine="0"/>
        <w:rPr>
          <w:sz w:val="24"/>
          <w:szCs w:val="24"/>
        </w:rPr>
      </w:pPr>
    </w:p>
    <w:p w14:paraId="292E3F14" w14:textId="77777777" w:rsidR="008B1C31" w:rsidRDefault="008B1C31" w:rsidP="003121C5">
      <w:pPr>
        <w:pStyle w:val="30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На фоне терапии достигнуты положительные изменения показателей суточного профиля АД (табл. 4). </w:t>
      </w:r>
    </w:p>
    <w:p w14:paraId="6E36ACAB" w14:textId="77777777" w:rsidR="008B1C31" w:rsidRDefault="008B1C31" w:rsidP="00707BFB">
      <w:pPr>
        <w:pStyle w:val="a6"/>
        <w:keepNext/>
        <w:widowControl w:val="0"/>
        <w:spacing w:line="360" w:lineRule="auto"/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Таблица № 4. </w:t>
      </w:r>
    </w:p>
    <w:p w14:paraId="428B041F" w14:textId="77777777" w:rsidR="008B1C31" w:rsidRDefault="008B1C31" w:rsidP="00707BFB">
      <w:pPr>
        <w:pStyle w:val="a6"/>
        <w:keepNext/>
        <w:widowControl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Динамика средних показателей СМАД на фоне терапии </w:t>
      </w:r>
    </w:p>
    <w:p w14:paraId="6A29F798" w14:textId="77777777" w:rsidR="008B1C31" w:rsidRDefault="008B1C31" w:rsidP="00707BFB">
      <w:pPr>
        <w:pStyle w:val="a6"/>
        <w:keepNext/>
        <w:widowControl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 больных АГ с метаболическими факторами риска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126"/>
        <w:gridCol w:w="2126"/>
        <w:gridCol w:w="2126"/>
      </w:tblGrid>
      <w:tr w:rsidR="008B1C31" w14:paraId="0B3C1747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670C765B" w14:textId="77777777" w:rsidR="008B1C31" w:rsidRDefault="008B1C31" w:rsidP="00707BFB">
            <w:pPr>
              <w:keepNext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4256FBA" w14:textId="77777777" w:rsidR="008B1C31" w:rsidRDefault="008B1C31" w:rsidP="00707BFB">
            <w:pPr>
              <w:pStyle w:val="a6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Δ, %</w:t>
            </w:r>
          </w:p>
        </w:tc>
      </w:tr>
      <w:tr w:rsidR="008B1C31" w14:paraId="775A73A4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1B55B711" w14:textId="77777777" w:rsidR="008B1C31" w:rsidRDefault="008B1C31" w:rsidP="00707BFB">
            <w:pPr>
              <w:keepNext/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25CCA76" w14:textId="77777777" w:rsidR="008B1C31" w:rsidRDefault="008B1C31" w:rsidP="00707BFB">
            <w:pPr>
              <w:pStyle w:val="a6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Эднит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CCFEF0C" w14:textId="77777777" w:rsidR="008B1C31" w:rsidRDefault="008B1C31" w:rsidP="00707BFB">
            <w:pPr>
              <w:pStyle w:val="a6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Плендил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012ABED" w14:textId="77777777" w:rsidR="008B1C31" w:rsidRDefault="008B1C31" w:rsidP="00707BFB">
            <w:pPr>
              <w:pStyle w:val="a6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Логимакс</w:t>
            </w:r>
          </w:p>
        </w:tc>
      </w:tr>
      <w:tr w:rsidR="008B1C31" w14:paraId="2012174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41364E5" w14:textId="77777777" w:rsidR="008B1C31" w:rsidRDefault="008B1C31" w:rsidP="00707BFB">
            <w:pPr>
              <w:keepNext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САДср, мм рт. 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8B05" w14:textId="77777777" w:rsidR="008B1C31" w:rsidRDefault="008B1C31" w:rsidP="00707BFB">
            <w:pPr>
              <w:pStyle w:val="a8"/>
              <w:keepNext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-14,5***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12E2" w14:textId="77777777" w:rsidR="008B1C31" w:rsidRDefault="008B1C31" w:rsidP="00707BFB">
            <w:pPr>
              <w:pStyle w:val="20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-15,9***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60AA" w14:textId="77777777" w:rsidR="008B1C31" w:rsidRDefault="008B1C31" w:rsidP="00707BFB">
            <w:pPr>
              <w:pStyle w:val="a6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-14,0***</w:t>
            </w:r>
          </w:p>
        </w:tc>
      </w:tr>
      <w:tr w:rsidR="008B1C31" w14:paraId="5E5FB4E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113B723" w14:textId="77777777" w:rsidR="008B1C31" w:rsidRDefault="008B1C31" w:rsidP="00707BFB">
            <w:pPr>
              <w:keepNext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ДАДср, мм рт. 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AA56" w14:textId="77777777" w:rsidR="008B1C31" w:rsidRDefault="008B1C31" w:rsidP="00707BFB">
            <w:pPr>
              <w:pStyle w:val="a8"/>
              <w:keepNext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-13,6**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5906" w14:textId="77777777" w:rsidR="008B1C31" w:rsidRDefault="008B1C31" w:rsidP="00707BFB">
            <w:pPr>
              <w:pStyle w:val="20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-11,3**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DBFF" w14:textId="77777777" w:rsidR="008B1C31" w:rsidRDefault="008B1C31" w:rsidP="00707BFB">
            <w:pPr>
              <w:pStyle w:val="a6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-12,5*</w:t>
            </w:r>
          </w:p>
        </w:tc>
      </w:tr>
      <w:tr w:rsidR="008B1C31" w14:paraId="290D367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8AC0F03" w14:textId="77777777" w:rsidR="008B1C31" w:rsidRDefault="008B1C31" w:rsidP="00707BFB">
            <w:pPr>
              <w:keepNext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ЧССср, уд/мин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AB1" w14:textId="77777777" w:rsidR="008B1C31" w:rsidRDefault="008B1C31" w:rsidP="00707BFB">
            <w:pPr>
              <w:pStyle w:val="a8"/>
              <w:keepNext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3F68" w14:textId="77777777" w:rsidR="008B1C31" w:rsidRDefault="008B1C31" w:rsidP="00707BFB">
            <w:pPr>
              <w:pStyle w:val="20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6115" w14:textId="77777777" w:rsidR="008B1C31" w:rsidRDefault="008B1C31" w:rsidP="00707BFB">
            <w:pPr>
              <w:pStyle w:val="a6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-8,6*</w:t>
            </w:r>
          </w:p>
        </w:tc>
      </w:tr>
      <w:tr w:rsidR="008B1C31" w14:paraId="76E691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AEFA39C" w14:textId="77777777" w:rsidR="008B1C31" w:rsidRDefault="008B1C31" w:rsidP="00707BFB">
            <w:pPr>
              <w:keepNext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 САДср,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87D7" w14:textId="77777777" w:rsidR="008B1C31" w:rsidRDefault="008B1C31" w:rsidP="00707BFB">
            <w:pPr>
              <w:pStyle w:val="a6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-63,0**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9CC" w14:textId="77777777" w:rsidR="008B1C31" w:rsidRDefault="008B1C31" w:rsidP="00707BFB">
            <w:pPr>
              <w:pStyle w:val="a5"/>
              <w:keepNext/>
              <w:pageBreakBefore w:val="0"/>
              <w:widowControl w:val="0"/>
              <w:spacing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-59,5**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8704" w14:textId="77777777" w:rsidR="008B1C31" w:rsidRDefault="008B1C31" w:rsidP="00707BFB">
            <w:pPr>
              <w:pStyle w:val="a5"/>
              <w:keepNext/>
              <w:pageBreakBefore w:val="0"/>
              <w:widowControl w:val="0"/>
              <w:spacing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-60,1***</w:t>
            </w:r>
          </w:p>
        </w:tc>
      </w:tr>
      <w:tr w:rsidR="008B1C31" w14:paraId="07A804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667B3E4" w14:textId="77777777" w:rsidR="008B1C31" w:rsidRDefault="008B1C31" w:rsidP="00707BFB">
            <w:pPr>
              <w:keepNext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 ДАДср,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D8B7" w14:textId="77777777" w:rsidR="008B1C31" w:rsidRDefault="008B1C31" w:rsidP="00707BFB">
            <w:pPr>
              <w:pStyle w:val="a6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-60,6**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C8BD" w14:textId="77777777" w:rsidR="008B1C31" w:rsidRDefault="008B1C31" w:rsidP="00707BFB">
            <w:pPr>
              <w:pStyle w:val="a5"/>
              <w:keepNext/>
              <w:pageBreakBefore w:val="0"/>
              <w:widowControl w:val="0"/>
              <w:spacing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-52,6**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AF7B" w14:textId="77777777" w:rsidR="008B1C31" w:rsidRDefault="008B1C31" w:rsidP="00707BFB">
            <w:pPr>
              <w:pStyle w:val="a5"/>
              <w:keepNext/>
              <w:pageBreakBefore w:val="0"/>
              <w:widowControl w:val="0"/>
              <w:spacing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-67,2**</w:t>
            </w:r>
          </w:p>
        </w:tc>
      </w:tr>
      <w:tr w:rsidR="008B1C31" w14:paraId="7427FC7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3B08F63" w14:textId="77777777" w:rsidR="008B1C31" w:rsidRDefault="008B1C31" w:rsidP="00707BFB">
            <w:pPr>
              <w:keepNext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САДср,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9DEF" w14:textId="77777777" w:rsidR="008B1C31" w:rsidRDefault="008B1C31" w:rsidP="00707BFB">
            <w:pPr>
              <w:pStyle w:val="a6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-79,6***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B2EA" w14:textId="77777777" w:rsidR="008B1C31" w:rsidRDefault="008B1C31" w:rsidP="00707BFB">
            <w:pPr>
              <w:pStyle w:val="a5"/>
              <w:keepNext/>
              <w:pageBreakBefore w:val="0"/>
              <w:widowControl w:val="0"/>
              <w:spacing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-80,5**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93B9" w14:textId="77777777" w:rsidR="008B1C31" w:rsidRDefault="008B1C31" w:rsidP="00707BFB">
            <w:pPr>
              <w:pStyle w:val="a5"/>
              <w:keepNext/>
              <w:pageBreakBefore w:val="0"/>
              <w:widowControl w:val="0"/>
              <w:spacing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-76,4***</w:t>
            </w:r>
          </w:p>
        </w:tc>
      </w:tr>
      <w:tr w:rsidR="008B1C31" w14:paraId="55883F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D0C6BE5" w14:textId="77777777" w:rsidR="008B1C31" w:rsidRDefault="008B1C31" w:rsidP="00707BFB">
            <w:pPr>
              <w:keepNext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ДАДср,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F8F3" w14:textId="77777777" w:rsidR="008B1C31" w:rsidRDefault="008B1C31" w:rsidP="00707BFB">
            <w:pPr>
              <w:pStyle w:val="a6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-78,2**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4410" w14:textId="77777777" w:rsidR="008B1C31" w:rsidRDefault="008B1C31" w:rsidP="00707BFB">
            <w:pPr>
              <w:pStyle w:val="a5"/>
              <w:keepNext/>
              <w:pageBreakBefore w:val="0"/>
              <w:widowControl w:val="0"/>
              <w:spacing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-67,0**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0616" w14:textId="77777777" w:rsidR="008B1C31" w:rsidRDefault="008B1C31" w:rsidP="00707BFB">
            <w:pPr>
              <w:pStyle w:val="a5"/>
              <w:keepNext/>
              <w:pageBreakBefore w:val="0"/>
              <w:widowControl w:val="0"/>
              <w:spacing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-64,3**</w:t>
            </w:r>
          </w:p>
        </w:tc>
      </w:tr>
    </w:tbl>
    <w:p w14:paraId="66F9E719" w14:textId="77777777" w:rsidR="008B1C31" w:rsidRDefault="008B1C31" w:rsidP="00707BFB">
      <w:pPr>
        <w:pStyle w:val="a6"/>
        <w:keepNext/>
        <w:widowControl w:val="0"/>
        <w:spacing w:line="24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* р &lt; 0,05, ** р &lt; 0,01, *** р &lt; 0,001 – достоверность отличия с исходом</w:t>
      </w:r>
    </w:p>
    <w:p w14:paraId="1C2387BF" w14:textId="77777777" w:rsidR="008B1C31" w:rsidRDefault="008B1C31" w:rsidP="00707BFB">
      <w:pPr>
        <w:pStyle w:val="30"/>
        <w:widowControl w:val="0"/>
        <w:ind w:firstLine="0"/>
        <w:rPr>
          <w:sz w:val="24"/>
          <w:szCs w:val="24"/>
        </w:rPr>
      </w:pPr>
    </w:p>
    <w:p w14:paraId="1A1B5FD0" w14:textId="77777777" w:rsidR="008B1C31" w:rsidRDefault="008B1C31" w:rsidP="003121C5">
      <w:pPr>
        <w:pStyle w:val="30"/>
        <w:widowControl w:val="0"/>
        <w:rPr>
          <w:sz w:val="24"/>
          <w:szCs w:val="24"/>
        </w:rPr>
      </w:pPr>
      <w:r>
        <w:rPr>
          <w:sz w:val="24"/>
          <w:szCs w:val="24"/>
        </w:rPr>
        <w:t>Все исследуемые препараты оказывали отчетливое влияние на среднесуточные показат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ли АД и его нагрузки. Отмечено, что у пациентов с исходно нормальной вариабельностью АД его значимых изменений не произошло, а у лиц с высокой вариабельностью АД произошло достове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ное сниж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стандартного отклонения САД (ДАД) днем – на 30% (34%), ночью – на 31% (33%) в группе эднита; днем на 20% (14%), ночью – на 13% (14%) в группе плендила и днем на 19% (18% н. д.), ночью – на 34% (36%) в группе логимакса.</w:t>
      </w:r>
    </w:p>
    <w:p w14:paraId="27377599" w14:textId="77777777" w:rsidR="008B1C31" w:rsidRDefault="008B1C31" w:rsidP="003121C5">
      <w:pPr>
        <w:pStyle w:val="a6"/>
        <w:keepNext/>
        <w:widowControl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Изучаемые препараты положительно влияют на типы суточных кривых. У пациентов с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ходно нормальным снижением АД во время сна не изменилась выраженность двухфазного ри</w:t>
      </w:r>
      <w:r>
        <w:rPr>
          <w:sz w:val="24"/>
          <w:szCs w:val="24"/>
        </w:rPr>
        <w:t>т</w:t>
      </w:r>
      <w:r>
        <w:rPr>
          <w:sz w:val="24"/>
          <w:szCs w:val="24"/>
        </w:rPr>
        <w:t>ма АД. У больных с недостаточным снижением АД во время сна и ночной гипертонией отмечено 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лательное в этой группе пациентов увеличение перепада «день-ночь». Терапия привела к уменьш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 процента больных с ночной гипотонией (рис. 5).</w:t>
      </w:r>
    </w:p>
    <w:p w14:paraId="15A7298E" w14:textId="77777777" w:rsidR="008B1C31" w:rsidRDefault="008B1C31" w:rsidP="003121C5">
      <w:pPr>
        <w:pStyle w:val="a6"/>
        <w:keepNext/>
        <w:widowControl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Снижение величины и скорости утреннего подъема АД, а в нашем исследовании их сниж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достигнуто во всех 3-х группах, сопровождается уменьшением риска поражения органов - м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шеней. </w:t>
      </w:r>
    </w:p>
    <w:p w14:paraId="48F1DE30" w14:textId="77777777" w:rsidR="008B1C31" w:rsidRDefault="008B1C31" w:rsidP="003121C5">
      <w:pPr>
        <w:pStyle w:val="a6"/>
        <w:keepNext/>
        <w:widowControl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Зарегистрировано повышение ФВ во всех группах лечения, достоверное лишь в группе 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лодип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на. Мы наблюдали некоторую динамику параметров ЛЖ. Во всех группах лечения отмечена тенденция к уменьшению толщины стенок ЛЖ (толщина МЖП достоверно уменьш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лась на 12,7% при лечении эднитом). При изначально высоком ИММЛЖ он менялся наиболее значимо, однако и у пациентов без ГМЛЖ отмечена тенденция к уменьшению ИММЛЖ. Выявлено тенденция к сн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жению ОПСС, достоверная на фоне лечении плендилом и логимаксом. Достоверно улучшилась диастолическая функция ЛЖ. Процент больных, имеющих нарушение диастолич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ской функции ЛЖ, уменьшился на 46,2%, 57,0%, 40,9% в группах эднита, плендила и логимакса соответственно.</w:t>
      </w:r>
    </w:p>
    <w:p w14:paraId="01E5BAB9" w14:textId="77777777" w:rsidR="008B1C31" w:rsidRDefault="008B1C31" w:rsidP="003121C5">
      <w:pPr>
        <w:pStyle w:val="30"/>
        <w:widowControl w:val="0"/>
        <w:rPr>
          <w:sz w:val="24"/>
          <w:szCs w:val="24"/>
        </w:rPr>
      </w:pPr>
      <w:r>
        <w:rPr>
          <w:sz w:val="24"/>
          <w:szCs w:val="24"/>
        </w:rPr>
        <w:t>Терапия исследуемыми препаратами не усугубляла имеющиеся у больных метаболические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стройства, не ухудшала реологию крови.</w:t>
      </w:r>
    </w:p>
    <w:p w14:paraId="6538F22B" w14:textId="77777777" w:rsidR="008B1C31" w:rsidRDefault="008B1C31" w:rsidP="003121C5">
      <w:pPr>
        <w:pStyle w:val="30"/>
        <w:widowControl w:val="0"/>
        <w:rPr>
          <w:sz w:val="24"/>
          <w:szCs w:val="24"/>
        </w:rPr>
      </w:pPr>
      <w:r>
        <w:rPr>
          <w:sz w:val="24"/>
          <w:szCs w:val="24"/>
        </w:rPr>
        <w:t>На фоне терапии эднитом, плендилом и логимаксом отмечено достоверное улучшение кач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ства жизни пациентов на 17,9%, 15,6% и 19,3% соответственно. Достоверно снизилась частота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кружений, уменьшились головные боли, улучшилась работоспособность. В процессе лечения эднитом у больных заметно снизилось чувство тревоги и беспокойства, уменьшилась утомля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мость. Отмечена тенденция к снижению уровня депрессии (достоверная в группах больных,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рым проводилась терапия эднитом и логимаксом) и личностной тревоги. Также выявлено увелич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уровня субъективного контроля, свидетельствующее о повышении ответстве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ности больного за свое здоровье и понимание, того что улучшение самочувствия во многом зависит от его дейс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вий.</w:t>
      </w:r>
    </w:p>
    <w:p w14:paraId="54AF46D8" w14:textId="77777777" w:rsidR="008B1C31" w:rsidRDefault="008B1C31" w:rsidP="003121C5">
      <w:pPr>
        <w:pStyle w:val="30"/>
        <w:widowControl w:val="0"/>
        <w:rPr>
          <w:sz w:val="24"/>
          <w:szCs w:val="24"/>
        </w:rPr>
      </w:pPr>
      <w:r>
        <w:rPr>
          <w:sz w:val="24"/>
          <w:szCs w:val="24"/>
        </w:rPr>
        <w:t>При приеме эднита, плендила и логимакса мы отметили побочные реакции в 11,2%, 16% и 13,3% случаев соответственно с отменой препарата в группе эднита в 8,4% и в группе плендила в 4% случаев. Патологических отклонений в общем и биохимическом анализах крови и в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щем анализе мочи при контрольных исследованиях не отмечено.</w:t>
      </w:r>
    </w:p>
    <w:p w14:paraId="633DBA89" w14:textId="77777777" w:rsidR="008B1C31" w:rsidRDefault="008B1C31" w:rsidP="003121C5">
      <w:pPr>
        <w:pStyle w:val="a6"/>
        <w:keepNext/>
        <w:widowControl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 больных, получавших наряду с гипотензивной терапией липобай в течение 2-х месяцев, отмеч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ны положительные изменения липидного спектра: достоверное снижение ОХ на 22,4%; ХС-ЛПНП на 32,8%; ТГ на 25,9%; Апо В на 19,3% и тенденция к повышению ХС-ЛПВП (на 6,1%). Достове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ных изменений других биохимических, коагулологических показателей, глюкозы крови не набл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далось. </w:t>
      </w:r>
    </w:p>
    <w:p w14:paraId="522A1374" w14:textId="77777777" w:rsidR="008B1C31" w:rsidRDefault="008B1C31" w:rsidP="003121C5">
      <w:pPr>
        <w:pStyle w:val="a6"/>
        <w:keepNext/>
        <w:widowControl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Таким образом, у 98 % пациентов достигнуты положительные изменения липидного спе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тра после 2-х – месячной терапии липобаем (53% пациентов показали отличный результат, 38% бол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- хороший, 7% больных – удовлетворительный эффект). Для 2% больных результат лечения оказался неудовлетворительным. Полученные результаты представляются весьма желател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ными, так как дислипидемия, также как и АГ, рассматривается в качестве самостоятельного фактора ри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ка сердечно-сосудистых осложнений и необходимо учитывать это обстоятельство при подборе 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рапии. Побочные действия препарата зарегистрированы у 20% больных с отменой препарата в 4,5% 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чаев.</w:t>
      </w:r>
    </w:p>
    <w:p w14:paraId="33392262" w14:textId="77777777" w:rsidR="008B1C31" w:rsidRDefault="008B1C31" w:rsidP="003121C5">
      <w:pPr>
        <w:pStyle w:val="30"/>
        <w:widowControl w:val="0"/>
        <w:rPr>
          <w:sz w:val="24"/>
          <w:szCs w:val="24"/>
        </w:rPr>
      </w:pPr>
      <w:r>
        <w:rPr>
          <w:sz w:val="24"/>
          <w:szCs w:val="24"/>
        </w:rPr>
        <w:t>Уменьшение тесноты связи на фоне терапии между уровнем глюкозы и САДср, САД во время сна и в период бодрствования у всех обследованных больных свидетельствует об эффекти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ности применения эднита, плендила и логимакса при АГ в условиях инсулинорезистентн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сти.</w:t>
      </w:r>
    </w:p>
    <w:p w14:paraId="31E8C9E4" w14:textId="77777777" w:rsidR="008B1C31" w:rsidRDefault="008B1C31" w:rsidP="003121C5">
      <w:pPr>
        <w:pStyle w:val="21"/>
        <w:keepNext/>
        <w:widowControl w:val="0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Зависимость сердечного индекса от вязкости крови на фоне лечения снижается у всей гру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пы больных (исход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-0,40,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&lt; 0,05; после лечения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-0,29, н. д.), так же как и взаимоо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ношение вязкости крови и ДАДср (исход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0,45,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&lt; 0,05; после лечения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0,10, н. д.).</w:t>
      </w:r>
    </w:p>
    <w:p w14:paraId="4A9603D3" w14:textId="77777777" w:rsidR="008B1C31" w:rsidRDefault="008B1C31" w:rsidP="003121C5">
      <w:pPr>
        <w:pStyle w:val="30"/>
        <w:widowControl w:val="0"/>
        <w:rPr>
          <w:sz w:val="24"/>
          <w:szCs w:val="24"/>
        </w:rPr>
      </w:pPr>
      <w:r>
        <w:rPr>
          <w:sz w:val="24"/>
          <w:szCs w:val="24"/>
        </w:rPr>
        <w:t>Уменьшение тесноты связи между уровнем глюкозы и САДср, САД во время сна и в период бодрствования у всех обследованных больных свидетельствует об эффективности применения э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нита, плендила и логимакса при АГ в условиях инсулинорезистентности.</w:t>
      </w:r>
    </w:p>
    <w:p w14:paraId="781D80E1" w14:textId="77777777" w:rsidR="008B1C31" w:rsidRDefault="008B1C31" w:rsidP="003121C5">
      <w:pPr>
        <w:pStyle w:val="21"/>
        <w:keepNext/>
        <w:widowControl w:val="0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Зависимость сердечного индекса от вязкости крови на фоне лечения снижается у всей гру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пы больных (исход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-0,40,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&lt; 0,05; после лечения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-0,29, н. д.), так же как и взаимоо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ношение вязкости крови и ДАДср (исход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0,45,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&lt; 0,05; после лечения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0,10, н. д.).</w:t>
      </w:r>
    </w:p>
    <w:p w14:paraId="1EE61FAB" w14:textId="77777777" w:rsidR="008B1C31" w:rsidRDefault="008B1C31" w:rsidP="003121C5">
      <w:pPr>
        <w:pStyle w:val="a6"/>
        <w:keepNext/>
        <w:widowControl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 снижении ДАДср на фоне лечения связь между вязкостью крови и ДАДср уменьш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лась, что свидетельствует об отсутствии негативного влияния снижения среднесуточного ДАД на реолог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ческие свойства крови.</w:t>
      </w:r>
    </w:p>
    <w:p w14:paraId="7D599432" w14:textId="77777777" w:rsidR="008B1C31" w:rsidRDefault="008B1C31" w:rsidP="003121C5">
      <w:pPr>
        <w:pStyle w:val="30"/>
        <w:widowControl w:val="0"/>
        <w:rPr>
          <w:sz w:val="24"/>
          <w:szCs w:val="24"/>
        </w:rPr>
      </w:pPr>
      <w:r>
        <w:rPr>
          <w:sz w:val="24"/>
          <w:szCs w:val="24"/>
        </w:rPr>
        <w:t>Таким образом, АГ увеличивает риск развития сердечно-сосудистых осложнений и сме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ти, но этот риск резко возрастает, когда к АГ присоединяются метаболические факторы риска. У больных АГ с метаболическими расстройствами по сравнению с пациентами, страдающими из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лированной АГ, чаще выявляются нарушения СПАД, патологические изменения миокарда и гем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реологии,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рые повышают вероятность развития сердечно-сосудистых осложнений, вследствие чего эти больные должны рассматриваться в качестве группы высокого риска разв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тия сердечно-сосудистых осложнений. Пациентам с метаболическим синдромом показана длительная антиг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пертензивная терапия, выбор которой должен осуществляться с учетом сопутствующих, в первую очередь корригируемых факторов риска, наиболее значимыми из которых являются ГМЛЖ и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рушения СПАД. Также целесообразно одновременно выявлять и корригировать мет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болические факторы риска, в частности атерогенную дислипидемию, что даст более заметный эффект в борьбе с АГ и ее осложнениями.</w:t>
      </w:r>
    </w:p>
    <w:p w14:paraId="70974164" w14:textId="77777777" w:rsidR="008B1C31" w:rsidRDefault="008B1C31" w:rsidP="003121C5">
      <w:pPr>
        <w:keepNext/>
        <w:widowControl w:val="0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</w:p>
    <w:p w14:paraId="75B483A6" w14:textId="77777777" w:rsidR="008B1C31" w:rsidRDefault="008B1C31" w:rsidP="003121C5">
      <w:pPr>
        <w:pStyle w:val="3"/>
        <w:widowControl w:val="0"/>
        <w:tabs>
          <w:tab w:val="left" w:pos="9498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Выводы</w:t>
      </w:r>
    </w:p>
    <w:p w14:paraId="292B6DEB" w14:textId="77777777" w:rsidR="008B1C31" w:rsidRDefault="008B1C31" w:rsidP="003121C5">
      <w:pPr>
        <w:numPr>
          <w:ilvl w:val="0"/>
          <w:numId w:val="15"/>
        </w:numPr>
        <w:tabs>
          <w:tab w:val="left" w:pos="426"/>
        </w:tabs>
        <w:spacing w:line="360" w:lineRule="auto"/>
        <w:ind w:left="0" w:firstLine="709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>По сравнению с больными изолированной АГ, у лиц, страдающих АГ с метаболич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скими расстройствами, чаще выявляются нарушения СПАД с более высокими значениями АД,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казат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лями «нагрузки давлением» и более высокой вариабельностью АД. Значительно чаще у них наблюдается ГМЛЖ (42-79%) и нарушение диастолической функции ЛЖ (67-80%). Достове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ное выше вязкость крови, ИАЭ и уровень фибриногена, индуцированная агрегация тромбоцитов и ее скорость. Больные АГ с метаболическими факторами риска чаще страдали расстройствами невр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тического рег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 (50%), чем пациенты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без этих факторов (14,3%)</w:t>
      </w:r>
      <w:r>
        <w:rPr>
          <w:spacing w:val="-20"/>
          <w:sz w:val="24"/>
          <w:szCs w:val="24"/>
        </w:rPr>
        <w:t>.</w:t>
      </w:r>
    </w:p>
    <w:p w14:paraId="02249888" w14:textId="77777777" w:rsidR="008B1C31" w:rsidRDefault="008B1C31" w:rsidP="003121C5">
      <w:pPr>
        <w:keepNext/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Полный гипотензивный эффект при лечении эднитом, плендилом и логимаксом у больных АГ с метаболическими факторами риска составил 67,7%, 66,4% и 73,2% соответственно.</w:t>
      </w:r>
    </w:p>
    <w:p w14:paraId="50FC49CF" w14:textId="77777777" w:rsidR="008B1C31" w:rsidRDefault="008B1C31" w:rsidP="003121C5">
      <w:pPr>
        <w:keepNext/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Терапия эднитом, плендилом и логимаксом улучшает СПАД путем уменьшения у</w:t>
      </w:r>
      <w:r>
        <w:rPr>
          <w:sz w:val="24"/>
          <w:szCs w:val="24"/>
        </w:rPr>
        <w:t>с</w:t>
      </w:r>
      <w:r>
        <w:rPr>
          <w:sz w:val="24"/>
          <w:szCs w:val="24"/>
        </w:rPr>
        <w:t>редненных показателей АД, нагрузки «гипертоническими величинами», снижения исходно выс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кой вари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бельности АД. Возрастает процент </w:t>
      </w:r>
      <w:r>
        <w:rPr>
          <w:sz w:val="24"/>
          <w:szCs w:val="24"/>
          <w:lang w:val="en-US"/>
        </w:rPr>
        <w:t>dippers</w:t>
      </w:r>
      <w:r>
        <w:rPr>
          <w:sz w:val="24"/>
          <w:szCs w:val="24"/>
        </w:rPr>
        <w:t xml:space="preserve">, при уменьшении типов </w:t>
      </w:r>
      <w:r>
        <w:rPr>
          <w:sz w:val="24"/>
          <w:szCs w:val="24"/>
          <w:lang w:val="en-US"/>
        </w:rPr>
        <w:t>over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dippers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non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dippers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night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peakers</w:t>
      </w:r>
      <w:r>
        <w:rPr>
          <w:sz w:val="24"/>
          <w:szCs w:val="24"/>
        </w:rPr>
        <w:t>.</w:t>
      </w:r>
    </w:p>
    <w:p w14:paraId="79A87113" w14:textId="77777777" w:rsidR="008B1C31" w:rsidRDefault="008B1C31" w:rsidP="003121C5">
      <w:pPr>
        <w:pStyle w:val="20"/>
        <w:keepNext/>
        <w:widowControl w:val="0"/>
        <w:tabs>
          <w:tab w:val="left" w:pos="426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 фоне терапии эднитом, плендилом и логимаксом отмечено достоверное улучшение кач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ства жизни на 17,9%, 15,6% и 19,3% соответственно.</w:t>
      </w:r>
    </w:p>
    <w:p w14:paraId="4E06E5CE" w14:textId="77777777" w:rsidR="008B1C31" w:rsidRDefault="008B1C31" w:rsidP="003121C5">
      <w:pPr>
        <w:keepNext/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Установлено, что исследуемые препараты (эднит, плендил и логимакс) не усугубл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ют имеющиеся у больных метаболические нарушения, не ухудшают реологию крови. Побочные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акции имели место при лечении эднитом в 11,1% случаев (отмена – 8,4%), плендилом – 16% (отмена – 4%), логимаксом – 13,3% (отмены препарата не потребовалось), при применении комб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нирова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терапии в – 20% (отмена – 4,5%).</w:t>
      </w:r>
    </w:p>
    <w:p w14:paraId="79AAEC12" w14:textId="77777777" w:rsidR="008B1C31" w:rsidRDefault="008B1C31" w:rsidP="003121C5">
      <w:pPr>
        <w:keepNext/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комбинации гипотензивной терапии с гиполипидемическим препаратом – лип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баем – у больных АГ с атерогенной дислипидемией достигаются положительные изменения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пидного спектра в 98% случаев за счет снижения ОХ на 22,4%, ХС-ЛПНП на 32,8%, ТГ на 25,9% и пов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шения ХС-ЛПВП на 6,1%.</w:t>
      </w:r>
    </w:p>
    <w:p w14:paraId="2D2F5F62" w14:textId="77777777" w:rsidR="008B1C31" w:rsidRDefault="008B1C31" w:rsidP="003121C5">
      <w:pPr>
        <w:keepNext/>
        <w:widowControl w:val="0"/>
        <w:tabs>
          <w:tab w:val="num" w:pos="0"/>
          <w:tab w:val="left" w:pos="42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14:paraId="0D6AFB5C" w14:textId="77777777" w:rsidR="008B1C31" w:rsidRDefault="008B1C31" w:rsidP="003121C5">
      <w:pPr>
        <w:keepNext/>
        <w:widowControl w:val="0"/>
        <w:tabs>
          <w:tab w:val="num" w:pos="0"/>
          <w:tab w:val="left" w:pos="42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Практические рекомендации</w:t>
      </w:r>
    </w:p>
    <w:p w14:paraId="5C39BA35" w14:textId="77777777" w:rsidR="008B1C31" w:rsidRDefault="008B1C31" w:rsidP="003121C5">
      <w:pPr>
        <w:keepNext/>
        <w:widowControl w:val="0"/>
        <w:numPr>
          <w:ilvl w:val="0"/>
          <w:numId w:val="16"/>
        </w:numPr>
        <w:tabs>
          <w:tab w:val="clear" w:pos="360"/>
          <w:tab w:val="num" w:pos="0"/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комплексе обследования больных АГ целенаправленное выявление сопутствующих метаб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лических факторов риска;</w:t>
      </w:r>
    </w:p>
    <w:p w14:paraId="2DA96F87" w14:textId="77777777" w:rsidR="008B1C31" w:rsidRDefault="008B1C31" w:rsidP="003121C5">
      <w:pPr>
        <w:keepNext/>
        <w:widowControl w:val="0"/>
        <w:numPr>
          <w:ilvl w:val="0"/>
          <w:numId w:val="16"/>
        </w:numPr>
        <w:tabs>
          <w:tab w:val="clear" w:pos="360"/>
          <w:tab w:val="num" w:pos="0"/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Установленные данные о специфических изменениях СПАД и его связи с факторами риска развития осложнений АГ являются основанием для рекомендации использования СМАД в качес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 обязательного метода обследования больных мягкой и умеренной АГ. СМАД помогает подбору адекватной терапии, обеспечивающей контроль показателей АД и ЧСС на протяжении 24 часов.</w:t>
      </w:r>
    </w:p>
    <w:p w14:paraId="58285393" w14:textId="77777777" w:rsidR="008B1C31" w:rsidRDefault="008B1C31" w:rsidP="003121C5">
      <w:pPr>
        <w:keepNext/>
        <w:widowControl w:val="0"/>
        <w:numPr>
          <w:ilvl w:val="0"/>
          <w:numId w:val="16"/>
        </w:numPr>
        <w:tabs>
          <w:tab w:val="clear" w:pos="360"/>
          <w:tab w:val="num" w:pos="0"/>
          <w:tab w:val="left" w:pos="142"/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Подбор индивидуальных дозировок необходимо проводить по результатам СМАД. С учетом пролонгированного действия изученных препаратов можно рекомендовать применения эднита в суточной дозе 2,5 – 40 мг 1 раз/сутки, плендила в дозе 5 – 10 мг 1 раз/сутки и логимакса в дозе 5 (50) / 10 (100) мг 1 раз/сутки.</w:t>
      </w:r>
    </w:p>
    <w:p w14:paraId="1E1B1DD3" w14:textId="77777777" w:rsidR="008B1C31" w:rsidRDefault="008B1C31" w:rsidP="003121C5">
      <w:pPr>
        <w:keepNext/>
        <w:widowControl w:val="0"/>
        <w:numPr>
          <w:ilvl w:val="0"/>
          <w:numId w:val="16"/>
        </w:numPr>
        <w:tabs>
          <w:tab w:val="clear" w:pos="360"/>
          <w:tab w:val="num" w:pos="0"/>
          <w:tab w:val="left" w:pos="142"/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Выраженные изменения липидного обмена у больных АГ требуют подключения к гипоте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зивной терапии гиполипидемических препаратов (липобай в дозе 0,2 – 0,4 мг / сут).</w:t>
      </w:r>
    </w:p>
    <w:p w14:paraId="1153DEF4" w14:textId="77777777" w:rsidR="008B1C31" w:rsidRDefault="008B1C31" w:rsidP="003121C5">
      <w:pPr>
        <w:keepNext/>
        <w:widowControl w:val="0"/>
        <w:tabs>
          <w:tab w:val="left" w:pos="142"/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14:paraId="599CEC10" w14:textId="77777777" w:rsidR="008B1C31" w:rsidRDefault="008B1C31" w:rsidP="003121C5">
      <w:pPr>
        <w:keepNext/>
        <w:widowControl w:val="0"/>
        <w:tabs>
          <w:tab w:val="num" w:pos="0"/>
          <w:tab w:val="left" w:pos="426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работ, опубликованных по теме диссертации:</w:t>
      </w:r>
    </w:p>
    <w:p w14:paraId="74190F34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Отечественный опыт применения Липобая у больных гиперлипидемией. // Матер.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Наци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нального конгресса “Человек и лекарство.” </w:t>
      </w:r>
      <w:r w:rsidRPr="00707BFB">
        <w:rPr>
          <w:sz w:val="24"/>
          <w:szCs w:val="24"/>
        </w:rPr>
        <w:t xml:space="preserve">Москва -1999. </w:t>
      </w:r>
      <w:r>
        <w:rPr>
          <w:sz w:val="24"/>
          <w:szCs w:val="24"/>
        </w:rPr>
        <w:t>С.- 160.</w:t>
      </w:r>
      <w:r w:rsidRPr="00707BFB">
        <w:rPr>
          <w:sz w:val="24"/>
          <w:szCs w:val="24"/>
        </w:rPr>
        <w:t xml:space="preserve"> (в соавт. с В.С.Задионченко)</w:t>
      </w:r>
    </w:p>
    <w:p w14:paraId="00694597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Липобая (церивастатина) у больных дислипидемией. // Клиническая фармак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логия и фармакотерапия. 1999. № 4. С.54 - 55.</w:t>
      </w:r>
      <w:r>
        <w:rPr>
          <w:sz w:val="24"/>
          <w:szCs w:val="24"/>
          <w:lang w:val="en-US"/>
        </w:rPr>
        <w:t xml:space="preserve"> (в соавт. с В.С.Задионченко)</w:t>
      </w:r>
    </w:p>
    <w:p w14:paraId="619F6388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Плендида у больных артериальной гипертонией с метаболическими наруш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ниями. // Клиническая фармакология и фармакотерапия. 1999. № 6. с.28 - 30.</w:t>
      </w:r>
      <w:r>
        <w:rPr>
          <w:sz w:val="24"/>
          <w:szCs w:val="24"/>
          <w:lang w:val="en-US"/>
        </w:rPr>
        <w:t xml:space="preserve"> (в соавт. с В.С.Задионченко)</w:t>
      </w:r>
    </w:p>
    <w:p w14:paraId="3ABA42A8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Опыт применения препарата Липобай при лечении гиперхолестеринемии.// Сборник тез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сов ХХ итоговой межвузовской научной конференции молодых ученых. Москва -1998. С. 90- 91.</w:t>
      </w:r>
    </w:p>
    <w:p w14:paraId="169BFEA0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Отечественный опыт применения Липобая (церивастатина) у больных дислипидем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ей. // Тр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ды Международного форума. Кардиология –99. Москва -1999. С. 121 – 126. </w:t>
      </w:r>
      <w:r>
        <w:rPr>
          <w:sz w:val="24"/>
          <w:szCs w:val="24"/>
          <w:lang w:val="en-US"/>
        </w:rPr>
        <w:t>(в соавт. с В.С.Задионченко)</w:t>
      </w:r>
    </w:p>
    <w:p w14:paraId="7984008F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Эффективность Эднита у больных АГ с метаболическим синдромом. // Российский Кардиологический журнал №4 (приложение). Тезисы докладов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Всероссийского съезда карди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логов. - Москва. – 1999. С. 51.</w:t>
      </w:r>
      <w:r w:rsidRPr="00707BFB">
        <w:rPr>
          <w:sz w:val="24"/>
          <w:szCs w:val="24"/>
        </w:rPr>
        <w:t xml:space="preserve"> (в соавт. с В.С.Задионченко)</w:t>
      </w:r>
    </w:p>
    <w:p w14:paraId="5816763E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ингибитора АПФ - Эднита у больных артериальной гипертонией с мет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болическими нарушениями. // Матер. тезисов к Российской конференции: «Лечение и профилакт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 арт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риальной гипертонии» в рамках Второй междунароной специализированной выставки «Кардиология – 2000» и Российского научного форума «Российская кардиология в начале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ка». – Мос</w:t>
      </w:r>
      <w:r>
        <w:rPr>
          <w:sz w:val="24"/>
          <w:szCs w:val="24"/>
        </w:rPr>
        <w:t>к</w:t>
      </w:r>
      <w:r>
        <w:rPr>
          <w:sz w:val="24"/>
          <w:szCs w:val="24"/>
        </w:rPr>
        <w:t>ва. – 2000. С.46</w:t>
      </w:r>
      <w:r w:rsidRPr="00707BFB">
        <w:rPr>
          <w:sz w:val="24"/>
          <w:szCs w:val="24"/>
        </w:rPr>
        <w:t xml:space="preserve"> (в соавт. с В.С.Задионченко, Т.В. Адашевой, И.В. Погонченковой).</w:t>
      </w:r>
    </w:p>
    <w:p w14:paraId="70C311F2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Плендида у больных артериальной гипертонией с метаболическими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рушени</w:t>
      </w:r>
      <w:r>
        <w:rPr>
          <w:sz w:val="24"/>
          <w:szCs w:val="24"/>
        </w:rPr>
        <w:t>я</w:t>
      </w:r>
      <w:r>
        <w:rPr>
          <w:sz w:val="24"/>
          <w:szCs w:val="24"/>
        </w:rPr>
        <w:t>ми. // Матер. тезисов к Российской конференции: «Лечение и профилактика артериальной гиперт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нии» в рамках Второй междунароной специализированной выставки «Кардиология – 2000» и 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сийского научного форума «Российская кардиология в начале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века». – Москва. – 2000. С.45</w:t>
      </w:r>
      <w:r w:rsidRPr="00707BFB">
        <w:rPr>
          <w:sz w:val="24"/>
          <w:szCs w:val="24"/>
        </w:rPr>
        <w:t xml:space="preserve"> (в соавт. с В.С.Задионченко, Т.В. Адашевой, И.В. Погонченковой).</w:t>
      </w:r>
    </w:p>
    <w:p w14:paraId="06946090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Логимакса у больных артериальной гипертонией с метаболическими нарушениями. // Матер. тезисов к Российской конференции: «Лечение и профилактика артериал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г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пертонии» в рамках Второй международной специализированной выставки «Кардиология – 2000» и Российского научного форума «Российская кардиология в начале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века». – Москва. – 2000. С.</w:t>
      </w:r>
      <w:r w:rsidRPr="00707BFB">
        <w:rPr>
          <w:sz w:val="24"/>
          <w:szCs w:val="24"/>
        </w:rPr>
        <w:t xml:space="preserve"> 47 (в соавт. с В.С.Задионченко, Т.В. Адашевой, И.В. Погонченковой).</w:t>
      </w:r>
    </w:p>
    <w:p w14:paraId="05491A4E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Новый препарат - Логимакс у больных артериальной гипертонией с метаболическ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ми нарушениями. // Матер. тезисов к международному научному форуму «Достижения клинич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ской фармакологии» в рамках международной медицинской выставки «Здравоохранение 99».–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сква. – 1999. С. 148 </w:t>
      </w:r>
      <w:r w:rsidRPr="00707BFB">
        <w:rPr>
          <w:sz w:val="24"/>
          <w:szCs w:val="24"/>
        </w:rPr>
        <w:t>(в соавт. с В.С.Задионченко, Т.В. Адашевой, И.В. Погонченковой).</w:t>
      </w:r>
    </w:p>
    <w:p w14:paraId="6082D955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и переносимость Эднита у больных АГ с метаболическими наруш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ниями. // Матер. тезисов к международному научному форуму «Достижения клинической фарм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кологии» в рамках международной медицинской выставки «Здравоохранение 99».– Москва. – 1999. С. 149 </w:t>
      </w:r>
      <w:r w:rsidRPr="00707BFB">
        <w:rPr>
          <w:sz w:val="24"/>
          <w:szCs w:val="24"/>
        </w:rPr>
        <w:t>(в соавт. с В.С.Задионченко, Т.В. Адашевой, И.В. Погонченковой).</w:t>
      </w:r>
    </w:p>
    <w:p w14:paraId="16D87829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Плендил в лечении больных артериальной гипертонией с метаболическими наруш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ниями. // Матер. тезисов к международному научному форуму «Достижения клинической фарм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кологии» в рамках международной медицинской выставки «Здравоохранение 99».– Москва. – 1999. С.57 – 58 </w:t>
      </w:r>
      <w:r w:rsidRPr="00707BFB">
        <w:rPr>
          <w:sz w:val="24"/>
          <w:szCs w:val="24"/>
        </w:rPr>
        <w:t>(в соавт. с В.С.Задионченко, Т.В. Адашевой, И.В. Погонченковой).</w:t>
      </w:r>
    </w:p>
    <w:p w14:paraId="09866E0D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Артериальная гипертония с метаболическими нарушениями, медикаментозная ко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рекция Плендилом. // Матер. тезисов к научно-практической конференции «Актуальные проблемы артер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альной гипертонии». – Москва. – 1999. С. 57 - 59</w:t>
      </w:r>
      <w:r>
        <w:rPr>
          <w:sz w:val="24"/>
          <w:szCs w:val="24"/>
          <w:lang w:val="en-US"/>
        </w:rPr>
        <w:t xml:space="preserve"> (в соавт. с В.С.Задионченко).</w:t>
      </w:r>
    </w:p>
    <w:p w14:paraId="0538A232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и переносимость Эднита у больных АГ с метаболическими наруш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ниями. // Матер. тезисов к научно-практической конференции «Актуальные проблемы артериал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гипе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тонии». – Москва. – 1999. С.</w:t>
      </w:r>
      <w:r>
        <w:rPr>
          <w:sz w:val="24"/>
          <w:szCs w:val="24"/>
          <w:lang w:val="en-US"/>
        </w:rPr>
        <w:t xml:space="preserve"> 59 – 61 (в соавт. с В.С.Задионченко).</w:t>
      </w:r>
    </w:p>
    <w:p w14:paraId="68B317DA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Логимакса у больных артериальной гипертонией с метаболическими наруш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ниями. // Клиническая фармакология и фармакотерапия. 2000. № 4. С. 26 - 29.</w:t>
      </w:r>
      <w:r w:rsidRPr="00707BFB">
        <w:rPr>
          <w:sz w:val="24"/>
          <w:szCs w:val="24"/>
        </w:rPr>
        <w:t xml:space="preserve"> (в соавт. с В.С.Задионченко, Т.В. Адашевой, И.В. Погонченковой).</w:t>
      </w:r>
    </w:p>
    <w:p w14:paraId="39A6EF2C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Эднита у больных АГ с метаболическими нарушениями. // Кардиология. 2000. № 10. С. 38 – 41.</w:t>
      </w:r>
      <w:r>
        <w:rPr>
          <w:sz w:val="24"/>
          <w:szCs w:val="24"/>
          <w:lang w:val="en-US"/>
        </w:rPr>
        <w:t xml:space="preserve"> (в соавт. с В.С.Задионченко).</w:t>
      </w:r>
    </w:p>
    <w:p w14:paraId="543230D1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Эднита у больных АГ с метаболическими нарушениями. // Гедеон Ри</w:t>
      </w:r>
      <w:r>
        <w:rPr>
          <w:sz w:val="24"/>
          <w:szCs w:val="24"/>
        </w:rPr>
        <w:t>х</w:t>
      </w:r>
      <w:r>
        <w:rPr>
          <w:sz w:val="24"/>
          <w:szCs w:val="24"/>
        </w:rPr>
        <w:t>тер в СНГ. 2000. №2. с.56.</w:t>
      </w:r>
      <w:r w:rsidRPr="00707BFB">
        <w:rPr>
          <w:sz w:val="24"/>
          <w:szCs w:val="24"/>
        </w:rPr>
        <w:t xml:space="preserve"> (в соавт. с В.С.Задионченко, Т.В. Адашевой, И.В. Погонченковой).</w:t>
      </w:r>
    </w:p>
    <w:p w14:paraId="2487A6DB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Влияние эднита на качество жизни у больных артериальной гипертонией. // Матер.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Наци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нального конгресса “Человек и лекарство.” Москва - 2000. С.- 89.</w:t>
      </w:r>
      <w:r w:rsidRPr="00707BFB">
        <w:rPr>
          <w:sz w:val="24"/>
          <w:szCs w:val="24"/>
        </w:rPr>
        <w:t xml:space="preserve"> (в соавт. с В.С.Задионченко, Т.В. Адашевой, И.В. Погонченковой).</w:t>
      </w:r>
    </w:p>
    <w:p w14:paraId="0318ECBD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Влияние фелодипина на структурно-функциональное состояние сердца у больных гипертон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ческой болезнью. // Матер.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Национального конгресса “Человек и лекарство.” Москва - 2000. С.- 89 – 90.</w:t>
      </w:r>
      <w:r w:rsidRPr="00707BFB">
        <w:rPr>
          <w:sz w:val="24"/>
          <w:szCs w:val="24"/>
        </w:rPr>
        <w:t xml:space="preserve"> (в соавт. с В.С.Задионченко).</w:t>
      </w:r>
    </w:p>
    <w:p w14:paraId="6E3EC595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Логимакс в терапии больных артериальной гипертонией. // М., Медицина: Клинич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ская мон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графия. – 2001. - 48с. </w:t>
      </w:r>
      <w:r>
        <w:rPr>
          <w:sz w:val="24"/>
          <w:szCs w:val="24"/>
          <w:lang w:val="en-US"/>
        </w:rPr>
        <w:t>(в соавт. с В.С.Задионченко).</w:t>
      </w:r>
    </w:p>
    <w:p w14:paraId="792EC470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Метаболические аспекты гипертонической болезни, проблемы медикаментозной коррекции. // Российский Кардиологический журнал. Принято в печать </w:t>
      </w:r>
      <w:r>
        <w:rPr>
          <w:sz w:val="24"/>
          <w:szCs w:val="24"/>
          <w:lang w:val="en-US"/>
        </w:rPr>
        <w:t>(в соавт. с В.С.Задионченко).</w:t>
      </w:r>
    </w:p>
    <w:p w14:paraId="1232EF68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Гипотензивная терапия у больных артериальной гипертонии с метаболическими фа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торами риска. // Клиническая фармакология и фармакотерапия. Принято в печать </w:t>
      </w:r>
      <w:r w:rsidRPr="00707BFB">
        <w:rPr>
          <w:sz w:val="24"/>
          <w:szCs w:val="24"/>
        </w:rPr>
        <w:t>(в соавт. с В.С.Задионченко, Т.В. Адашевой, И.В. Погонченковой).</w:t>
      </w:r>
    </w:p>
    <w:p w14:paraId="47171FDA" w14:textId="77777777" w:rsidR="008B1C31" w:rsidRDefault="008B1C31" w:rsidP="003121C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течения артериальной гипертонии у больных с метаболическими нар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шени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ми. // Российский Кардиологический журнал. Принято в печать </w:t>
      </w:r>
      <w:r w:rsidRPr="00707BFB">
        <w:rPr>
          <w:sz w:val="24"/>
          <w:szCs w:val="24"/>
        </w:rPr>
        <w:t>(в соавт. с В.С.Задионченко, Т.В. Адаш</w:t>
      </w:r>
      <w:r w:rsidRPr="00707BFB">
        <w:rPr>
          <w:sz w:val="24"/>
          <w:szCs w:val="24"/>
        </w:rPr>
        <w:t>е</w:t>
      </w:r>
      <w:r w:rsidRPr="00707BFB">
        <w:rPr>
          <w:sz w:val="24"/>
          <w:szCs w:val="24"/>
        </w:rPr>
        <w:t>вой, И.В. Погонченковой).</w:t>
      </w:r>
    </w:p>
    <w:sectPr w:rsidR="008B1C31" w:rsidSect="00707BFB">
      <w:footerReference w:type="default" r:id="rId15"/>
      <w:type w:val="continuous"/>
      <w:pgSz w:w="12242" w:h="15842" w:code="1"/>
      <w:pgMar w:top="851" w:right="851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439B" w14:textId="77777777" w:rsidR="00652551" w:rsidRDefault="00652551">
      <w:r>
        <w:separator/>
      </w:r>
    </w:p>
  </w:endnote>
  <w:endnote w:type="continuationSeparator" w:id="0">
    <w:p w14:paraId="6810DEBE" w14:textId="77777777" w:rsidR="00652551" w:rsidRDefault="0065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7BEB" w14:textId="77777777" w:rsidR="008B1C31" w:rsidRDefault="008B1C31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21C5">
      <w:rPr>
        <w:rStyle w:val="a3"/>
        <w:noProof/>
      </w:rPr>
      <w:t>2</w:t>
    </w:r>
    <w:r>
      <w:rPr>
        <w:rStyle w:val="a3"/>
      </w:rPr>
      <w:fldChar w:fldCharType="end"/>
    </w:r>
  </w:p>
  <w:p w14:paraId="3073AAC8" w14:textId="77777777" w:rsidR="008B1C31" w:rsidRDefault="008B1C3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DB6C" w14:textId="77777777" w:rsidR="00652551" w:rsidRDefault="00652551">
      <w:r>
        <w:separator/>
      </w:r>
    </w:p>
  </w:footnote>
  <w:footnote w:type="continuationSeparator" w:id="0">
    <w:p w14:paraId="34B5E7C0" w14:textId="77777777" w:rsidR="00652551" w:rsidRDefault="00652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5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6064D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A63F2C"/>
    <w:multiLevelType w:val="singleLevel"/>
    <w:tmpl w:val="2FCE575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63E78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9233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1AC7107"/>
    <w:multiLevelType w:val="singleLevel"/>
    <w:tmpl w:val="BABC44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FA167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7EF7C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C2641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D1F7F43"/>
    <w:multiLevelType w:val="singleLevel"/>
    <w:tmpl w:val="08E22F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47507B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496902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49F575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BD24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53A35B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5D886CC2"/>
    <w:multiLevelType w:val="multilevel"/>
    <w:tmpl w:val="8202E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57C0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80B41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682807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7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</w:num>
  <w:num w:numId="7">
    <w:abstractNumId w:val="14"/>
  </w:num>
  <w:num w:numId="8">
    <w:abstractNumId w:val="13"/>
  </w:num>
  <w:num w:numId="9">
    <w:abstractNumId w:val="10"/>
  </w:num>
  <w:num w:numId="10">
    <w:abstractNumId w:val="15"/>
  </w:num>
  <w:num w:numId="11">
    <w:abstractNumId w:val="18"/>
  </w:num>
  <w:num w:numId="12">
    <w:abstractNumId w:val="17"/>
  </w:num>
  <w:num w:numId="13">
    <w:abstractNumId w:val="0"/>
  </w:num>
  <w:num w:numId="14">
    <w:abstractNumId w:val="11"/>
  </w:num>
  <w:num w:numId="15">
    <w:abstractNumId w:val="4"/>
  </w:num>
  <w:num w:numId="16">
    <w:abstractNumId w:val="12"/>
  </w:num>
  <w:num w:numId="17">
    <w:abstractNumId w:val="9"/>
  </w:num>
  <w:num w:numId="18">
    <w:abstractNumId w:val="16"/>
  </w:num>
  <w:num w:numId="19">
    <w:abstractNumId w:val="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6B"/>
    <w:rsid w:val="000970AB"/>
    <w:rsid w:val="003121C5"/>
    <w:rsid w:val="004D6D6B"/>
    <w:rsid w:val="00652551"/>
    <w:rsid w:val="00707BFB"/>
    <w:rsid w:val="008B1C31"/>
    <w:rsid w:val="00CC0305"/>
    <w:rsid w:val="00D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395941"/>
  <w15:chartTrackingRefBased/>
  <w15:docId w15:val="{4AAFFC66-C262-4254-9A33-FF113A22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480" w:lineRule="auto"/>
      <w:ind w:left="1134" w:right="5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pageBreakBefore/>
      <w:spacing w:line="360" w:lineRule="auto"/>
      <w:ind w:left="1134" w:right="-85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spacing w:line="48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spacing w:line="480" w:lineRule="auto"/>
      <w:ind w:left="1134" w:right="-851"/>
      <w:jc w:val="center"/>
      <w:outlineLvl w:val="3"/>
    </w:pPr>
    <w:rPr>
      <w:spacing w:val="20"/>
      <w:sz w:val="32"/>
      <w:szCs w:val="32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spacing w:line="480" w:lineRule="auto"/>
      <w:ind w:right="-851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pPr>
      <w:keepNext/>
      <w:spacing w:line="480" w:lineRule="auto"/>
      <w:ind w:firstLine="720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widowControl w:val="0"/>
      <w:tabs>
        <w:tab w:val="left" w:pos="1418"/>
        <w:tab w:val="left" w:pos="2268"/>
        <w:tab w:val="left" w:pos="14430"/>
      </w:tabs>
      <w:ind w:left="-42"/>
      <w:jc w:val="both"/>
      <w:outlineLvl w:val="8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703"/>
        <w:tab w:val="right" w:pos="9406"/>
      </w:tabs>
    </w:pPr>
  </w:style>
  <w:style w:type="paragraph" w:styleId="a5">
    <w:name w:val="Block Text"/>
    <w:basedOn w:val="a"/>
    <w:pPr>
      <w:pageBreakBefore/>
      <w:spacing w:line="360" w:lineRule="auto"/>
      <w:ind w:left="426" w:right="-851"/>
      <w:jc w:val="center"/>
    </w:pPr>
    <w:rPr>
      <w:sz w:val="28"/>
      <w:szCs w:val="28"/>
    </w:rPr>
  </w:style>
  <w:style w:type="paragraph" w:styleId="a6">
    <w:name w:val="Body Text"/>
    <w:basedOn w:val="a"/>
    <w:pPr>
      <w:spacing w:line="480" w:lineRule="auto"/>
      <w:jc w:val="both"/>
    </w:pPr>
    <w:rPr>
      <w:sz w:val="28"/>
      <w:szCs w:val="28"/>
    </w:rPr>
  </w:style>
  <w:style w:type="paragraph" w:styleId="20">
    <w:name w:val="Body Text 2"/>
    <w:basedOn w:val="a"/>
    <w:pPr>
      <w:spacing w:line="480" w:lineRule="auto"/>
      <w:jc w:val="both"/>
    </w:pPr>
    <w:rPr>
      <w:sz w:val="28"/>
      <w:szCs w:val="28"/>
    </w:rPr>
  </w:style>
  <w:style w:type="paragraph" w:styleId="21">
    <w:name w:val="Body Text Indent 2"/>
    <w:basedOn w:val="a"/>
    <w:pPr>
      <w:spacing w:line="480" w:lineRule="auto"/>
      <w:ind w:left="1134" w:hanging="1134"/>
    </w:pPr>
    <w:rPr>
      <w:sz w:val="28"/>
      <w:szCs w:val="28"/>
    </w:rPr>
  </w:style>
  <w:style w:type="paragraph" w:styleId="30">
    <w:name w:val="Body Text Indent 3"/>
    <w:basedOn w:val="a"/>
    <w:pPr>
      <w:keepNext/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pPr>
      <w:tabs>
        <w:tab w:val="left" w:pos="142"/>
      </w:tabs>
      <w:spacing w:line="480" w:lineRule="auto"/>
      <w:ind w:firstLine="72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363636363636363"/>
          <c:y val="5.2631578947368418E-2"/>
          <c:w val="0.58566433566433562"/>
          <c:h val="0.69736842105263153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Лист1!$A$2</c:f>
              <c:strCache>
                <c:ptCount val="1"/>
                <c:pt idx="0">
                  <c:v>ДАДср</c:v>
                </c:pt>
              </c:strCache>
            </c:strRef>
          </c:tx>
          <c:spPr>
            <a:solidFill>
              <a:srgbClr val="333333"/>
            </a:solidFill>
            <a:ln w="132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Лист1!$B$1:$F$1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Лист1!$B$2:$F$2</c:f>
              <c:numCache>
                <c:formatCode>\О\с\н\о\в\н\о\й</c:formatCode>
                <c:ptCount val="5"/>
                <c:pt idx="0">
                  <c:v>85</c:v>
                </c:pt>
                <c:pt idx="1">
                  <c:v>87.6</c:v>
                </c:pt>
                <c:pt idx="2">
                  <c:v>91.5</c:v>
                </c:pt>
                <c:pt idx="3">
                  <c:v>86</c:v>
                </c:pt>
                <c:pt idx="4">
                  <c:v>91.2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DF-439E-B423-7696BFE78904}"/>
            </c:ext>
          </c:extLst>
        </c:ser>
        <c:ser>
          <c:idx val="0"/>
          <c:order val="1"/>
          <c:tx>
            <c:strRef>
              <c:f>Лист1!$A$3</c:f>
              <c:strCache>
                <c:ptCount val="1"/>
                <c:pt idx="0">
                  <c:v>САДср</c:v>
                </c:pt>
              </c:strCache>
            </c:strRef>
          </c:tx>
          <c:spPr>
            <a:solidFill>
              <a:srgbClr val="FFFFFF"/>
            </a:solidFill>
            <a:ln w="132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Лист1!$B$1:$F$1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Лист1!$B$3:$F$3</c:f>
              <c:numCache>
                <c:formatCode>\О\с\н\о\в\н\о\й</c:formatCode>
                <c:ptCount val="5"/>
                <c:pt idx="0">
                  <c:v>139</c:v>
                </c:pt>
                <c:pt idx="1">
                  <c:v>139</c:v>
                </c:pt>
                <c:pt idx="2">
                  <c:v>142.30000000000001</c:v>
                </c:pt>
                <c:pt idx="3">
                  <c:v>143.6</c:v>
                </c:pt>
                <c:pt idx="4">
                  <c:v>152.30000000000001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DF-439E-B423-7696BFE78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4706160"/>
        <c:axId val="1"/>
      </c:barChart>
      <c:lineChart>
        <c:grouping val="standard"/>
        <c:varyColors val="0"/>
        <c:ser>
          <c:idx val="2"/>
          <c:order val="2"/>
          <c:tx>
            <c:strRef>
              <c:f>Лист1!$A$4</c:f>
              <c:strCache>
                <c:ptCount val="1"/>
                <c:pt idx="0">
                  <c:v>ЧССср</c:v>
                </c:pt>
              </c:strCache>
            </c:strRef>
          </c:tx>
          <c:spPr>
            <a:ln w="39677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marker>
          <c:cat>
            <c:strRef>
              <c:f>Лист1!$B$1:$F$1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Лист1!$B$4:$F$4</c:f>
              <c:numCache>
                <c:formatCode>\О\с\н\о\в\н\о\й</c:formatCode>
                <c:ptCount val="5"/>
                <c:pt idx="0">
                  <c:v>67.2</c:v>
                </c:pt>
                <c:pt idx="1">
                  <c:v>70.3</c:v>
                </c:pt>
                <c:pt idx="2">
                  <c:v>68.8</c:v>
                </c:pt>
                <c:pt idx="3">
                  <c:v>69.099999999999994</c:v>
                </c:pt>
                <c:pt idx="4">
                  <c:v>72.7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9DF-439E-B423-7696BFE78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10547061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5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Группы больных</a:t>
                </a:r>
              </a:p>
            </c:rich>
          </c:tx>
          <c:layout>
            <c:manualLayout>
              <c:xMode val="edge"/>
              <c:yMode val="edge"/>
              <c:x val="0.27972027972027974"/>
              <c:y val="0.89473684210526316"/>
            </c:manualLayout>
          </c:layout>
          <c:overlay val="0"/>
          <c:spPr>
            <a:noFill/>
            <a:ln w="26451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30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60"/>
          <c:min val="60"/>
        </c:scaling>
        <c:delete val="0"/>
        <c:axPos val="l"/>
        <c:majorGridlines>
          <c:spPr>
            <a:ln w="330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45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мм рт. ст.</a:t>
                </a:r>
              </a:p>
            </c:rich>
          </c:tx>
          <c:layout>
            <c:manualLayout>
              <c:xMode val="edge"/>
              <c:yMode val="edge"/>
              <c:x val="0"/>
              <c:y val="0.23026315789473684"/>
            </c:manualLayout>
          </c:layout>
          <c:overlay val="0"/>
          <c:spPr>
            <a:noFill/>
            <a:ln w="26451">
              <a:noFill/>
            </a:ln>
          </c:spPr>
        </c:title>
        <c:numFmt formatCode="\О\с\н\о\в\н\о\й" sourceLinked="1"/>
        <c:majorTickMark val="cross"/>
        <c:minorTickMark val="none"/>
        <c:tickLblPos val="nextTo"/>
        <c:spPr>
          <a:ln w="330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5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54706160"/>
        <c:crosses val="autoZero"/>
        <c:crossBetween val="between"/>
        <c:majorUnit val="20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0"/>
        <c:lblAlgn val="ctr"/>
        <c:lblOffset val="100"/>
        <c:noMultiLvlLbl val="0"/>
      </c:catAx>
      <c:valAx>
        <c:axId val="4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145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ударов / мин</a:t>
                </a:r>
              </a:p>
            </c:rich>
          </c:tx>
          <c:layout>
            <c:manualLayout>
              <c:xMode val="edge"/>
              <c:yMode val="edge"/>
              <c:x val="0.74300699300699302"/>
              <c:y val="0.20394736842105263"/>
            </c:manualLayout>
          </c:layout>
          <c:overlay val="0"/>
          <c:spPr>
            <a:noFill/>
            <a:ln w="26451">
              <a:noFill/>
            </a:ln>
          </c:spPr>
        </c:title>
        <c:numFmt formatCode="\О\с\н\о\в\н\о\й" sourceLinked="1"/>
        <c:majorTickMark val="cross"/>
        <c:minorTickMark val="none"/>
        <c:tickLblPos val="nextTo"/>
        <c:spPr>
          <a:ln w="330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5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"/>
        <c:crosses val="max"/>
        <c:crossBetween val="between"/>
      </c:valAx>
      <c:spPr>
        <a:solidFill>
          <a:srgbClr val="C0C0C0"/>
        </a:solidFill>
        <a:ln w="13226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419580419580416"/>
          <c:y val="0.20065789473684212"/>
          <c:w val="0.17657342657342656"/>
          <c:h val="0.34539473684210525"/>
        </c:manualLayout>
      </c:layout>
      <c:overlay val="0"/>
      <c:spPr>
        <a:gradFill rotWithShape="0">
          <a:gsLst>
            <a:gs pos="0">
              <a:srgbClr xmlns:mc="http://schemas.openxmlformats.org/markup-compatibility/2006" xmlns:a14="http://schemas.microsoft.com/office/drawing/2010/main" val="FDFDFD" mc:Ignorable="a14" a14:legacySpreadsheetColorIndex="22">
                <a:gamma/>
                <a:tint val="33725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C0C0C0" mc:Ignorable="a14" a14:legacySpreadsheetColorIndex="22"/>
            </a:gs>
          </a:gsLst>
          <a:path path="rect">
            <a:fillToRect l="50000" t="50000" r="50000" b="50000"/>
          </a:path>
        </a:gradFill>
        <a:ln w="3306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244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04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80808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4405594405594401E-2"/>
          <c:y val="4.3902439024390241E-2"/>
          <c:w val="0.715034965034965"/>
          <c:h val="0.643902439024390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г р у п п а</c:v>
                </c:pt>
              </c:strCache>
            </c:strRef>
          </c:tx>
          <c:spPr>
            <a:solidFill>
              <a:srgbClr val="808080"/>
            </a:solidFill>
            <a:ln w="132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И П  С А Д с р</c:v>
                </c:pt>
                <c:pt idx="1">
                  <c:v>И П  Д А Д с р</c:v>
                </c:pt>
              </c:strCache>
            </c:strRef>
          </c:cat>
          <c:val>
            <c:numRef>
              <c:f>Лист1!$B$2:$B$3</c:f>
              <c:numCache>
                <c:formatCode>\О\с\н\о\в\н\о\й</c:formatCode>
                <c:ptCount val="2"/>
                <c:pt idx="0">
                  <c:v>209</c:v>
                </c:pt>
                <c:pt idx="1">
                  <c:v>114.2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1D-4038-8654-E9865DF40D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г р у п п а</c:v>
                </c:pt>
              </c:strCache>
            </c:strRef>
          </c:tx>
          <c:spPr>
            <a:solidFill>
              <a:srgbClr val="FFFFFF"/>
            </a:solidFill>
            <a:ln w="132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И П  С А Д с р</c:v>
                </c:pt>
                <c:pt idx="1">
                  <c:v>И П  Д А Д с р</c:v>
                </c:pt>
              </c:strCache>
            </c:strRef>
          </c:cat>
          <c:val>
            <c:numRef>
              <c:f>Лист1!$C$2:$C$3</c:f>
              <c:numCache>
                <c:formatCode>\О\с\н\о\в\н\о\й</c:formatCode>
                <c:ptCount val="2"/>
                <c:pt idx="0">
                  <c:v>269.60000000000002</c:v>
                </c:pt>
                <c:pt idx="1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1D-4038-8654-E9865DF40DA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г р у п п а</c:v>
                </c:pt>
              </c:strCache>
            </c:strRef>
          </c:tx>
          <c:spPr>
            <a:solidFill>
              <a:srgbClr val="333333"/>
            </a:solidFill>
            <a:ln w="132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И П  С А Д с р</c:v>
                </c:pt>
                <c:pt idx="1">
                  <c:v>И П  Д А Д с р</c:v>
                </c:pt>
              </c:strCache>
            </c:strRef>
          </c:cat>
          <c:val>
            <c:numRef>
              <c:f>Лист1!$D$2:$D$3</c:f>
              <c:numCache>
                <c:formatCode>\О\с\н\о\в\н\о\й</c:formatCode>
                <c:ptCount val="2"/>
                <c:pt idx="0">
                  <c:v>299.60000000000002</c:v>
                </c:pt>
                <c:pt idx="1">
                  <c:v>194.6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1D-4038-8654-E9865DF40DA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IV г р у п п а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50000">
                  <a:srgbClr xmlns:mc="http://schemas.openxmlformats.org/markup-compatibility/2006" xmlns:a14="http://schemas.microsoft.com/office/drawing/2010/main" val="191919" mc:Ignorable="a14" a14:legacySpreadsheetColorIndex="9">
                    <a:gamma/>
                    <a:shade val="46275"/>
                    <a:invGamma/>
                  </a:srgbClr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</a:gsLst>
              <a:lin ang="18900000" scaled="1"/>
            </a:gradFill>
            <a:ln w="132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И П  С А Д с р</c:v>
                </c:pt>
                <c:pt idx="1">
                  <c:v>И П  Д А Д с р</c:v>
                </c:pt>
              </c:strCache>
            </c:strRef>
          </c:cat>
          <c:val>
            <c:numRef>
              <c:f>Лист1!$E$2:$E$3</c:f>
              <c:numCache>
                <c:formatCode>\О\с\н\о\в\н\о\й</c:formatCode>
                <c:ptCount val="2"/>
                <c:pt idx="0">
                  <c:v>349.4</c:v>
                </c:pt>
                <c:pt idx="1">
                  <c:v>155.19999999999999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1D-4038-8654-E9865DF40DA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V г р у п п а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333333" mc:Ignorable="a14" a14:legacySpreadsheetColorIndex="63"/>
                </a:gs>
                <a:gs pos="50000">
                  <a:srgbClr xmlns:mc="http://schemas.openxmlformats.org/markup-compatibility/2006" xmlns:a14="http://schemas.microsoft.com/office/drawing/2010/main" val="CACACA" mc:Ignorable="a14" a14:legacySpreadsheetColorIndex="63">
                    <a:gamma/>
                    <a:tint val="63922"/>
                    <a:invGamma/>
                  </a:srgbClr>
                </a:gs>
                <a:gs pos="100000">
                  <a:srgbClr xmlns:mc="http://schemas.openxmlformats.org/markup-compatibility/2006" xmlns:a14="http://schemas.microsoft.com/office/drawing/2010/main" val="333333" mc:Ignorable="a14" a14:legacySpreadsheetColorIndex="63"/>
                </a:gs>
              </a:gsLst>
              <a:lin ang="18900000" scaled="1"/>
            </a:gradFill>
            <a:ln w="132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И П  С А Д с р</c:v>
                </c:pt>
                <c:pt idx="1">
                  <c:v>И П  Д А Д с р</c:v>
                </c:pt>
              </c:strCache>
            </c:strRef>
          </c:cat>
          <c:val>
            <c:numRef>
              <c:f>Лист1!$F$2:$F$3</c:f>
              <c:numCache>
                <c:formatCode>\О\с\н\о\в\н\о\й</c:formatCode>
                <c:ptCount val="2"/>
                <c:pt idx="0">
                  <c:v>515.20000000000005</c:v>
                </c:pt>
                <c:pt idx="1">
                  <c:v>220.6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21D-4038-8654-E9865DF40D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5378480"/>
        <c:axId val="1"/>
        <c:axId val="0"/>
      </c:bar3DChart>
      <c:catAx>
        <c:axId val="1055378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300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3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5378480"/>
        <c:crosses val="autoZero"/>
        <c:crossBetween val="between"/>
        <c:majorUnit val="200"/>
      </c:valAx>
      <c:spPr>
        <a:noFill/>
        <a:ln w="26403">
          <a:noFill/>
        </a:ln>
      </c:spPr>
    </c:plotArea>
    <c:legend>
      <c:legendPos val="r"/>
      <c:layout>
        <c:manualLayout>
          <c:xMode val="edge"/>
          <c:yMode val="edge"/>
          <c:x val="0.79370629370629375"/>
          <c:y val="8.2926829268292687E-2"/>
          <c:w val="0.19580419580419581"/>
          <c:h val="0.56585365853658531"/>
        </c:manualLayout>
      </c:layout>
      <c:overlay val="0"/>
      <c:spPr>
        <a:gradFill rotWithShape="0">
          <a:gsLst>
            <a:gs pos="0">
              <a:srgbClr xmlns:mc="http://schemas.openxmlformats.org/markup-compatibility/2006" xmlns:a14="http://schemas.microsoft.com/office/drawing/2010/main" val="F9F9F9" mc:Ignorable="a14" a14:legacySpreadsheetColorIndex="22">
                <a:gamma/>
                <a:tint val="4549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C0C0C0" mc:Ignorable="a14" a14:legacySpreadsheetColorIndex="22"/>
            </a:gs>
          </a:gsLst>
          <a:path path="rect">
            <a:fillToRect l="50000" t="50000" r="50000" b="50000"/>
          </a:path>
        </a:gradFill>
        <a:ln w="3300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05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06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928429423459244"/>
          <c:y val="7.1428571428571425E-2"/>
          <c:w val="0.86083499005964215"/>
          <c:h val="0.69230769230769229"/>
        </c:manualLayout>
      </c:layout>
      <c:lineChart>
        <c:grouping val="standard"/>
        <c:varyColors val="0"/>
        <c:ser>
          <c:idx val="0"/>
          <c:order val="0"/>
          <c:spPr>
            <a:ln w="38100">
              <a:solidFill>
                <a:srgbClr val="C0C0C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val>
            <c:numRef>
              <c:f>Лист1!$B$1:$F$1</c:f>
              <c:numCache>
                <c:formatCode>\О\с\н\о\в\н\о\й</c:formatCode>
                <c:ptCount val="5"/>
                <c:pt idx="0">
                  <c:v>4.5599999999999996</c:v>
                </c:pt>
                <c:pt idx="1">
                  <c:v>3.8</c:v>
                </c:pt>
                <c:pt idx="2">
                  <c:v>4</c:v>
                </c:pt>
                <c:pt idx="3">
                  <c:v>3.5</c:v>
                </c:pt>
                <c:pt idx="4">
                  <c:v>3.56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C91-4965-A54D-FAA004ABBA24}"/>
            </c:ext>
          </c:extLst>
        </c:ser>
        <c:ser>
          <c:idx val="1"/>
          <c:order val="1"/>
          <c:spPr>
            <a:ln w="38100">
              <a:solidFill>
                <a:srgbClr val="969696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C0C0C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val>
            <c:numRef>
              <c:f>Лист1!$B$2:$F$2</c:f>
              <c:numCache>
                <c:formatCode>\О\с\н\о\в\н\о\й</c:formatCode>
                <c:ptCount val="5"/>
                <c:pt idx="0">
                  <c:v>4.9400000000000004</c:v>
                </c:pt>
                <c:pt idx="1">
                  <c:v>4.7</c:v>
                </c:pt>
                <c:pt idx="2">
                  <c:v>4.3</c:v>
                </c:pt>
                <c:pt idx="3">
                  <c:v>3.92</c:v>
                </c:pt>
                <c:pt idx="4">
                  <c:v>4.0999999999999996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C91-4965-A54D-FAA004ABBA24}"/>
            </c:ext>
          </c:extLst>
        </c:ser>
        <c:ser>
          <c:idx val="2"/>
          <c:order val="2"/>
          <c:spPr>
            <a:ln w="38100">
              <a:solidFill>
                <a:srgbClr val="333333"/>
              </a:solidFill>
              <a:prstDash val="solid"/>
            </a:ln>
          </c:spPr>
          <c:marker>
            <c:symbol val="triangle"/>
            <c:size val="10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val>
            <c:numRef>
              <c:f>Лист1!$B$3:$F$3</c:f>
              <c:numCache>
                <c:formatCode>\О\с\н\о\в\н\о\й</c:formatCode>
                <c:ptCount val="5"/>
                <c:pt idx="0">
                  <c:v>4.9400000000000004</c:v>
                </c:pt>
                <c:pt idx="1">
                  <c:v>3.95</c:v>
                </c:pt>
                <c:pt idx="2">
                  <c:v>4.34</c:v>
                </c:pt>
                <c:pt idx="3">
                  <c:v>4.0999999999999996</c:v>
                </c:pt>
                <c:pt idx="4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C91-4965-A54D-FAA004ABBA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4702416"/>
        <c:axId val="1"/>
      </c:lineChart>
      <c:catAx>
        <c:axId val="10547024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Группы</a:t>
                </a:r>
              </a:p>
            </c:rich>
          </c:tx>
          <c:layout>
            <c:manualLayout>
              <c:xMode val="edge"/>
              <c:yMode val="edge"/>
              <c:x val="0.48906560636182905"/>
              <c:y val="0.8571428571428571"/>
            </c:manualLayout>
          </c:layout>
          <c:overlay val="0"/>
          <c:spPr>
            <a:noFill/>
            <a:ln w="25400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5"/>
          <c:min val="3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Балы</a:t>
                </a:r>
              </a:p>
            </c:rich>
          </c:tx>
          <c:layout>
            <c:manualLayout>
              <c:xMode val="edge"/>
              <c:yMode val="edge"/>
              <c:x val="2.584493041749503E-2"/>
              <c:y val="0.2857142857142857"/>
            </c:manualLayout>
          </c:layout>
          <c:overlay val="0"/>
          <c:spPr>
            <a:noFill/>
            <a:ln w="25400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4702416"/>
        <c:crosses val="autoZero"/>
        <c:crossBetween val="between"/>
        <c:majorUnit val="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043737574553"/>
          <c:y val="6.5934065934065936E-2"/>
          <c:w val="0.85685884691848901"/>
          <c:h val="0.70879120879120883"/>
        </c:manualLayout>
      </c:layout>
      <c:lineChart>
        <c:grouping val="standard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00008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9085487077534791"/>
                  <c:y val="0.1428571428571428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08-47DF-B8C6-1733645EBBA7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36182902584493043"/>
                  <c:y val="0.12637362637362637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39,4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408-47DF-B8C6-1733645EBBA7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53081510934393639"/>
                  <c:y val="0.3076923076923077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08-47DF-B8C6-1733645EBBA7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70178926441351885"/>
                  <c:y val="0.1538461538461538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08-47DF-B8C6-1733645EBBA7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Лист1!$A$1:$E$1</c:f>
              <c:numCache>
                <c:formatCode>\О\с\н\о\в\н\о\й</c:formatCode>
                <c:ptCount val="5"/>
                <c:pt idx="0">
                  <c:v>39</c:v>
                </c:pt>
                <c:pt idx="1">
                  <c:v>40</c:v>
                </c:pt>
                <c:pt idx="2">
                  <c:v>41.2</c:v>
                </c:pt>
                <c:pt idx="3">
                  <c:v>48.7</c:v>
                </c:pt>
                <c:pt idx="4">
                  <c:v>45.5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408-47DF-B8C6-1733645EBBA7}"/>
            </c:ext>
          </c:extLst>
        </c:ser>
        <c:ser>
          <c:idx val="1"/>
          <c:order val="1"/>
          <c:spPr>
            <a:ln w="38100">
              <a:solidFill>
                <a:srgbClr val="C0C0C0"/>
              </a:solidFill>
              <a:prstDash val="solid"/>
            </a:ln>
          </c:spPr>
          <c:marker>
            <c:symbol val="triangle"/>
            <c:size val="9"/>
            <c:spPr>
              <a:solidFill>
                <a:srgbClr val="C0C0C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6898608349900596"/>
                  <c:y val="0.58241758241758246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20,7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408-47DF-B8C6-1733645EBBA7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36580516898608351"/>
                  <c:y val="0.6428571428571429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27,0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3408-47DF-B8C6-1733645EBBA7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52882703777335982"/>
                  <c:y val="0.53846153846153844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23,7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408-47DF-B8C6-1733645EBBA7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70974155069582501"/>
                  <c:y val="0.58241758241758246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29,3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3408-47DF-B8C6-1733645EBBA7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87673956262425445"/>
                  <c:y val="0.37362637362637363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29,3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3408-47DF-B8C6-1733645EBBA7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Лист1!$A$2:$E$2</c:f>
              <c:numCache>
                <c:formatCode>\О\с\н\о\в\н\о\й</c:formatCode>
                <c:ptCount val="5"/>
                <c:pt idx="0">
                  <c:v>20.5</c:v>
                </c:pt>
                <c:pt idx="1">
                  <c:v>27</c:v>
                </c:pt>
                <c:pt idx="2">
                  <c:v>24</c:v>
                </c:pt>
                <c:pt idx="3">
                  <c:v>30</c:v>
                </c:pt>
                <c:pt idx="4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3408-47DF-B8C6-1733645EBBA7}"/>
            </c:ext>
          </c:extLst>
        </c:ser>
        <c:ser>
          <c:idx val="2"/>
          <c:order val="2"/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Лист1!$A$3:$E$3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3408-47DF-B8C6-1733645EBBA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54703248"/>
        <c:axId val="1"/>
      </c:lineChart>
      <c:catAx>
        <c:axId val="10547032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Группы</a:t>
                </a:r>
              </a:p>
            </c:rich>
          </c:tx>
          <c:layout>
            <c:manualLayout>
              <c:xMode val="edge"/>
              <c:yMode val="edge"/>
              <c:x val="0.49502982107355864"/>
              <c:y val="0.87362637362637363"/>
            </c:manualLayout>
          </c:layout>
          <c:overlay val="0"/>
          <c:spPr>
            <a:noFill/>
            <a:ln w="25400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50"/>
          <c:min val="2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Балы</a:t>
                </a:r>
              </a:p>
            </c:rich>
          </c:tx>
          <c:layout>
            <c:manualLayout>
              <c:xMode val="edge"/>
              <c:yMode val="edge"/>
              <c:x val="2.3856858846918488E-2"/>
              <c:y val="0.30219780219780218"/>
            </c:manualLayout>
          </c:layout>
          <c:overlay val="0"/>
          <c:spPr>
            <a:noFill/>
            <a:ln w="25400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4703248"/>
        <c:crosses val="autoZero"/>
        <c:crossBetween val="between"/>
        <c:majorUnit val="1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30815109343936"/>
          <c:y val="6.5934065934065936E-2"/>
          <c:w val="0.85685884691848901"/>
          <c:h val="0.67582417582417587"/>
        </c:manualLayout>
      </c:layout>
      <c:lineChart>
        <c:grouping val="standard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00008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val>
            <c:numRef>
              <c:f>Лист1!$A$1:$E$1</c:f>
              <c:numCache>
                <c:formatCode>\О\с\н\о\в\н\о\й</c:formatCode>
                <c:ptCount val="5"/>
                <c:pt idx="0">
                  <c:v>32</c:v>
                </c:pt>
                <c:pt idx="1">
                  <c:v>45</c:v>
                </c:pt>
                <c:pt idx="2">
                  <c:v>35</c:v>
                </c:pt>
                <c:pt idx="3">
                  <c:v>42</c:v>
                </c:pt>
                <c:pt idx="4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57F-4DB2-8626-1DED2D5D9231}"/>
            </c:ext>
          </c:extLst>
        </c:ser>
        <c:ser>
          <c:idx val="1"/>
          <c:order val="1"/>
          <c:spPr>
            <a:ln w="38100">
              <a:solidFill>
                <a:srgbClr val="C0C0C0"/>
              </a:solidFill>
              <a:prstDash val="solid"/>
            </a:ln>
          </c:spPr>
          <c:marker>
            <c:symbol val="triangle"/>
            <c:size val="9"/>
            <c:spPr>
              <a:solidFill>
                <a:srgbClr val="C0C0C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610337972166998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20,7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57F-4DB2-8626-1DED2D5D9231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35785288270377735"/>
                  <c:y val="5.4945054945054949E-3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27,0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257F-4DB2-8626-1DED2D5D9231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52087475149105367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23,7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57F-4DB2-8626-1DED2D5D9231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70178926441351885"/>
                  <c:y val="1.6483516483516484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29,3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257F-4DB2-8626-1DED2D5D9231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868787276341948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29,3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257F-4DB2-8626-1DED2D5D9231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Лист1!$A$2:$E$2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57F-4DB2-8626-1DED2D5D9231}"/>
            </c:ext>
          </c:extLst>
        </c:ser>
        <c:ser>
          <c:idx val="2"/>
          <c:order val="2"/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Лист1!$A$3:$E$3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57F-4DB2-8626-1DED2D5D92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54702416"/>
        <c:axId val="1"/>
      </c:lineChart>
      <c:catAx>
        <c:axId val="10547024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Группы</a:t>
                </a:r>
              </a:p>
            </c:rich>
          </c:tx>
          <c:layout>
            <c:manualLayout>
              <c:xMode val="edge"/>
              <c:yMode val="edge"/>
              <c:x val="0.48707753479125249"/>
              <c:y val="0.87362637362637363"/>
            </c:manualLayout>
          </c:layout>
          <c:overlay val="0"/>
          <c:spPr>
            <a:noFill/>
            <a:ln w="25400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50"/>
          <c:min val="2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Балы</a:t>
                </a:r>
              </a:p>
            </c:rich>
          </c:tx>
          <c:layout>
            <c:manualLayout>
              <c:xMode val="edge"/>
              <c:yMode val="edge"/>
              <c:x val="1.5904572564612324E-2"/>
              <c:y val="0.2857142857142857"/>
            </c:manualLayout>
          </c:layout>
          <c:overlay val="0"/>
          <c:spPr>
            <a:noFill/>
            <a:ln w="25400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4702416"/>
        <c:crosses val="autoZero"/>
        <c:crossBetween val="between"/>
        <c:majorUnit val="1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380782918149468E-3"/>
          <c:y val="9.3117408906882596E-2"/>
          <c:w val="0.99110320284697506"/>
          <c:h val="0.89068825910931171"/>
        </c:manualLayout>
      </c:layout>
      <c:pie3DChart>
        <c:varyColors val="1"/>
        <c:ser>
          <c:idx val="0"/>
          <c:order val="0"/>
          <c:spPr>
            <a:solidFill>
              <a:srgbClr val="FFFFFF"/>
            </a:solidFill>
            <a:ln w="4196">
              <a:solidFill>
                <a:srgbClr val="000000"/>
              </a:solidFill>
              <a:prstDash val="solid"/>
            </a:ln>
          </c:spPr>
          <c:explosion val="29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7A2-45EA-A441-9F8B8E1745A2}"/>
              </c:ext>
            </c:extLst>
          </c:dPt>
          <c:dPt>
            <c:idx val="1"/>
            <c:bubble3D val="0"/>
            <c:spPr>
              <a:solidFill>
                <a:srgbClr val="C0C0C0"/>
              </a:solidFill>
              <a:ln w="41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07A2-45EA-A441-9F8B8E1745A2}"/>
              </c:ext>
            </c:extLst>
          </c:dPt>
          <c:dPt>
            <c:idx val="2"/>
            <c:bubble3D val="0"/>
            <c:spPr>
              <a:solidFill>
                <a:srgbClr val="333333"/>
              </a:solidFill>
              <a:ln w="41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07A2-45EA-A441-9F8B8E1745A2}"/>
              </c:ext>
            </c:extLst>
          </c:dPt>
          <c:dLbls>
            <c:dLbl>
              <c:idx val="0"/>
              <c:layout>
                <c:manualLayout>
                  <c:xMode val="edge"/>
                  <c:yMode val="edge"/>
                  <c:x val="0.68505338078291811"/>
                  <c:y val="0.31174089068825911"/>
                </c:manualLayout>
              </c:layout>
              <c:spPr>
                <a:noFill/>
                <a:ln w="8393">
                  <a:noFill/>
                </a:ln>
              </c:spPr>
              <c:txPr>
                <a:bodyPr/>
                <a:lstStyle/>
                <a:p>
                  <a:pPr>
                    <a:defRPr sz="85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7A2-45EA-A441-9F8B8E1745A2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7.1174377224199295E-2"/>
                  <c:y val="0.21862348178137653"/>
                </c:manualLayout>
              </c:layout>
              <c:spPr>
                <a:noFill/>
                <a:ln w="8393">
                  <a:noFill/>
                </a:ln>
              </c:spPr>
              <c:txPr>
                <a:bodyPr/>
                <a:lstStyle/>
                <a:p>
                  <a:pPr>
                    <a:defRPr sz="85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7A2-45EA-A441-9F8B8E1745A2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3220640569395018"/>
                  <c:y val="0.12550607287449392"/>
                </c:manualLayout>
              </c:layout>
              <c:tx>
                <c:rich>
                  <a:bodyPr/>
                  <a:lstStyle/>
                  <a:p>
                    <a:pPr>
                      <a:defRPr sz="859" b="0" i="0" u="none" strike="noStrike" baseline="0">
                        <a:solidFill>
                          <a:srgbClr val="FFFFFF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9,7</a:t>
                    </a:r>
                  </a:p>
                </c:rich>
              </c:tx>
              <c:spPr>
                <a:noFill/>
                <a:ln w="839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7A2-45EA-A441-9F8B8E1745A2}"/>
                </c:ext>
              </c:extLst>
            </c:dLbl>
            <c:spPr>
              <a:noFill/>
              <a:ln w="839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5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Лист1!$A$1:$C$1</c:f>
              <c:numCache>
                <c:formatCode>\О\с\н\о\в\н\о\й</c:formatCode>
                <c:ptCount val="3"/>
                <c:pt idx="0">
                  <c:v>67.7</c:v>
                </c:pt>
                <c:pt idx="1">
                  <c:v>22.6</c:v>
                </c:pt>
                <c:pt idx="2">
                  <c:v>9.6999999999999993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A2-45EA-A441-9F8B8E1745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8393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5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7667844522968198E-3"/>
          <c:y val="0.10687022900763359"/>
          <c:w val="1"/>
          <c:h val="0.85496183206106868"/>
        </c:manualLayout>
      </c:layout>
      <c:pie3DChart>
        <c:varyColors val="1"/>
        <c:ser>
          <c:idx val="0"/>
          <c:order val="0"/>
          <c:spPr>
            <a:solidFill>
              <a:srgbClr val="FFFFFF"/>
            </a:solidFill>
            <a:ln w="4057">
              <a:solidFill>
                <a:srgbClr val="000000"/>
              </a:solidFill>
              <a:prstDash val="solid"/>
            </a:ln>
          </c:spPr>
          <c:explosion val="29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124-490F-B842-827B864583F6}"/>
              </c:ext>
            </c:extLst>
          </c:dPt>
          <c:dPt>
            <c:idx val="1"/>
            <c:bubble3D val="0"/>
            <c:spPr>
              <a:solidFill>
                <a:srgbClr val="C0C0C0"/>
              </a:solidFill>
              <a:ln w="40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124-490F-B842-827B864583F6}"/>
              </c:ext>
            </c:extLst>
          </c:dPt>
          <c:dPt>
            <c:idx val="2"/>
            <c:bubble3D val="0"/>
            <c:spPr>
              <a:solidFill>
                <a:srgbClr val="333333"/>
              </a:solidFill>
              <a:ln w="40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A124-490F-B842-827B864583F6}"/>
              </c:ext>
            </c:extLst>
          </c:dPt>
          <c:dLbls>
            <c:dLbl>
              <c:idx val="0"/>
              <c:layout>
                <c:manualLayout>
                  <c:xMode val="edge"/>
                  <c:yMode val="edge"/>
                  <c:x val="0.69611307420494695"/>
                  <c:y val="0.30534351145038169"/>
                </c:manualLayout>
              </c:layout>
              <c:spPr>
                <a:noFill/>
                <a:ln w="8114">
                  <a:noFill/>
                </a:ln>
              </c:spPr>
              <c:txPr>
                <a:bodyPr/>
                <a:lstStyle/>
                <a:p>
                  <a:pPr>
                    <a:defRPr sz="823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24-490F-B842-827B864583F6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7.5971731448763249E-2"/>
                  <c:y val="0.23664122137404581"/>
                </c:manualLayout>
              </c:layout>
              <c:spPr>
                <a:noFill/>
                <a:ln w="8114">
                  <a:noFill/>
                </a:ln>
              </c:spPr>
              <c:txPr>
                <a:bodyPr/>
                <a:lstStyle/>
                <a:p>
                  <a:pPr>
                    <a:defRPr sz="823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24-490F-B842-827B864583F6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35335689045936397"/>
                  <c:y val="0.15648854961832062"/>
                </c:manualLayout>
              </c:layout>
              <c:tx>
                <c:rich>
                  <a:bodyPr/>
                  <a:lstStyle/>
                  <a:p>
                    <a:pPr>
                      <a:defRPr sz="823" b="0" i="0" u="none" strike="noStrike" baseline="0">
                        <a:solidFill>
                          <a:srgbClr val="FFFFFF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8,4</a:t>
                    </a:r>
                  </a:p>
                </c:rich>
              </c:tx>
              <c:spPr>
                <a:noFill/>
                <a:ln w="811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A124-490F-B842-827B864583F6}"/>
                </c:ext>
              </c:extLst>
            </c:dLbl>
            <c:spPr>
              <a:noFill/>
              <a:ln w="81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3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Лист1!$A$1:$C$1</c:f>
              <c:numCache>
                <c:formatCode>\О\с\н\о\в\н\о\й</c:formatCode>
                <c:ptCount val="3"/>
                <c:pt idx="0">
                  <c:v>66.400000000000006</c:v>
                </c:pt>
                <c:pt idx="1">
                  <c:v>25.2</c:v>
                </c:pt>
                <c:pt idx="2">
                  <c:v>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124-490F-B842-827B864583F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8114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3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7667844522968198E-3"/>
          <c:y val="0.10687022900763359"/>
          <c:w val="1"/>
          <c:h val="0.85496183206106868"/>
        </c:manualLayout>
      </c:layout>
      <c:pie3DChart>
        <c:varyColors val="1"/>
        <c:ser>
          <c:idx val="0"/>
          <c:order val="0"/>
          <c:spPr>
            <a:solidFill>
              <a:srgbClr val="FFFFFF"/>
            </a:solidFill>
            <a:ln w="4189">
              <a:solidFill>
                <a:srgbClr val="000000"/>
              </a:solidFill>
              <a:prstDash val="solid"/>
            </a:ln>
          </c:spPr>
          <c:explosion val="29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AEE-431A-B117-371F4ACDD59C}"/>
              </c:ext>
            </c:extLst>
          </c:dPt>
          <c:dPt>
            <c:idx val="1"/>
            <c:bubble3D val="0"/>
            <c:spPr>
              <a:solidFill>
                <a:srgbClr val="C0C0C0"/>
              </a:solidFill>
              <a:ln w="418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BAEE-431A-B117-371F4ACDD59C}"/>
              </c:ext>
            </c:extLst>
          </c:dPt>
          <c:dPt>
            <c:idx val="2"/>
            <c:bubble3D val="0"/>
            <c:spPr>
              <a:solidFill>
                <a:srgbClr val="333333"/>
              </a:solidFill>
              <a:ln w="418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BAEE-431A-B117-371F4ACDD59C}"/>
              </c:ext>
            </c:extLst>
          </c:dPt>
          <c:dLbls>
            <c:dLbl>
              <c:idx val="0"/>
              <c:layout>
                <c:manualLayout>
                  <c:xMode val="edge"/>
                  <c:yMode val="edge"/>
                  <c:x val="0.6537102473498233"/>
                  <c:y val="0.40076335877862596"/>
                </c:manualLayout>
              </c:layout>
              <c:spPr>
                <a:noFill/>
                <a:ln w="8378">
                  <a:noFill/>
                </a:ln>
              </c:spPr>
              <c:txPr>
                <a:bodyPr/>
                <a:lstStyle/>
                <a:p>
                  <a:pPr>
                    <a:defRPr sz="84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AEE-431A-B117-371F4ACDD59C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12014134275618374"/>
                  <c:y val="0.17557251908396945"/>
                </c:manualLayout>
              </c:layout>
              <c:spPr>
                <a:noFill/>
                <a:ln w="8378">
                  <a:noFill/>
                </a:ln>
              </c:spPr>
              <c:txPr>
                <a:bodyPr/>
                <a:lstStyle/>
                <a:p>
                  <a:pPr>
                    <a:defRPr sz="84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EE-431A-B117-371F4ACDD59C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35159010600706714"/>
                  <c:y val="0.15267175572519084"/>
                </c:manualLayout>
              </c:layout>
              <c:tx>
                <c:rich>
                  <a:bodyPr/>
                  <a:lstStyle/>
                  <a:p>
                    <a:pPr>
                      <a:defRPr sz="849" b="0" i="0" u="none" strike="noStrike" baseline="0">
                        <a:solidFill>
                          <a:srgbClr val="FFFFFF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6,7</a:t>
                    </a:r>
                  </a:p>
                </c:rich>
              </c:tx>
              <c:spPr>
                <a:noFill/>
                <a:ln w="8378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AEE-431A-B117-371F4ACDD59C}"/>
                </c:ext>
              </c:extLst>
            </c:dLbl>
            <c:spPr>
              <a:noFill/>
              <a:ln w="837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4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Лист1!$A$1:$C$1</c:f>
              <c:numCache>
                <c:formatCode>\О\с\н\о\в\н\о\й</c:formatCode>
                <c:ptCount val="3"/>
                <c:pt idx="0">
                  <c:v>73.2</c:v>
                </c:pt>
                <c:pt idx="1">
                  <c:v>20.100000000000001</c:v>
                </c:pt>
                <c:pt idx="2">
                  <c:v>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EE-431A-B117-371F4ACDD59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8378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5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0.62575</cdr:x>
      <cdr:y>0.029</cdr:y>
    </cdr:from>
    <cdr:to>
      <cdr:x>0.6835</cdr:x>
      <cdr:y>0.1605</cdr:y>
    </cdr:to>
    <cdr:sp macro="" textlink="">
      <cdr:nvSpPr>
        <cdr:cNvPr id="2049" name="Text Box 1">
          <a:extLst xmlns:a="http://schemas.openxmlformats.org/drawingml/2006/main">
            <a:ext uri="{FF2B5EF4-FFF2-40B4-BE49-F238E27FC236}">
              <a16:creationId xmlns:a16="http://schemas.microsoft.com/office/drawing/2014/main" id="{ACE5BDD3-8D2B-4C5F-A99C-79EE5D5B4FD5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09274" y="83972"/>
          <a:ext cx="314639" cy="3807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36576" tIns="41148" rIns="36576" bIns="4114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2025" b="1" i="0" u="none" strike="noStrike" baseline="0">
              <a:solidFill>
                <a:srgbClr val="000000"/>
              </a:solidFill>
              <a:latin typeface="Arial"/>
              <a:cs typeface="Arial"/>
            </a:rPr>
            <a:t>**</a:t>
          </a:r>
        </a:p>
      </cdr:txBody>
    </cdr:sp>
  </cdr:relSizeAnchor>
  <cdr:relSizeAnchor xmlns:cdr="http://schemas.openxmlformats.org/drawingml/2006/chartDrawing">
    <cdr:from>
      <cdr:x>0.59475</cdr:x>
      <cdr:y>0.43375</cdr:y>
    </cdr:from>
    <cdr:to>
      <cdr:x>0.65425</cdr:x>
      <cdr:y>0.55875</cdr:y>
    </cdr:to>
    <cdr:sp macro="" textlink="">
      <cdr:nvSpPr>
        <cdr:cNvPr id="2050" name="Text Box 2">
          <a:extLst xmlns:a="http://schemas.openxmlformats.org/drawingml/2006/main">
            <a:ext uri="{FF2B5EF4-FFF2-40B4-BE49-F238E27FC236}">
              <a16:creationId xmlns:a16="http://schemas.microsoft.com/office/drawing/2014/main" id="{216EF2C2-710C-4621-AB72-DD85621F52F0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0376" y="1255967"/>
          <a:ext cx="324174" cy="3619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45720" tIns="4114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2025" b="1" i="0" u="none" strike="noStrike" baseline="0">
              <a:solidFill>
                <a:srgbClr val="000000"/>
              </a:solidFill>
              <a:latin typeface="Arial"/>
              <a:cs typeface="Arial"/>
            </a:rPr>
            <a:t>**</a:t>
          </a:r>
        </a:p>
      </cdr:txBody>
    </cdr:sp>
  </cdr:relSizeAnchor>
  <cdr:relSizeAnchor xmlns:cdr="http://schemas.openxmlformats.org/drawingml/2006/chartDrawing">
    <cdr:from>
      <cdr:x>0.49675</cdr:x>
      <cdr:y>0.06075</cdr:y>
    </cdr:from>
    <cdr:to>
      <cdr:x>0.57725</cdr:x>
      <cdr:y>0.19225</cdr:y>
    </cdr:to>
    <cdr:sp macro="" textlink="">
      <cdr:nvSpPr>
        <cdr:cNvPr id="2051" name="Text Box 3">
          <a:extLst xmlns:a="http://schemas.openxmlformats.org/drawingml/2006/main">
            <a:ext uri="{FF2B5EF4-FFF2-40B4-BE49-F238E27FC236}">
              <a16:creationId xmlns:a16="http://schemas.microsoft.com/office/drawing/2014/main" id="{5203036A-4552-4A13-B808-41512B23D92A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06443" y="175908"/>
          <a:ext cx="438588" cy="3807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45720" tIns="41148" rIns="45720" bIns="41148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2025" b="1" i="0" u="none" strike="noStrike" baseline="0">
              <a:solidFill>
                <a:srgbClr val="000000"/>
              </a:solidFill>
              <a:latin typeface="Arial"/>
              <a:cs typeface="Arial"/>
            </a:rPr>
            <a:t>**</a:t>
          </a:r>
        </a:p>
      </cdr:txBody>
    </cdr:sp>
  </cdr:relSizeAnchor>
  <cdr:relSizeAnchor xmlns:cdr="http://schemas.openxmlformats.org/drawingml/2006/chartDrawing">
    <cdr:from>
      <cdr:x>0.35225</cdr:x>
      <cdr:y>0.43375</cdr:y>
    </cdr:from>
    <cdr:to>
      <cdr:x>0.41</cdr:x>
      <cdr:y>0.5685</cdr:y>
    </cdr:to>
    <cdr:sp macro="" textlink="">
      <cdr:nvSpPr>
        <cdr:cNvPr id="2052" name="Text Box 4">
          <a:extLst xmlns:a="http://schemas.openxmlformats.org/drawingml/2006/main">
            <a:ext uri="{FF2B5EF4-FFF2-40B4-BE49-F238E27FC236}">
              <a16:creationId xmlns:a16="http://schemas.microsoft.com/office/drawing/2014/main" id="{CF047ECC-05D3-4423-992E-296213F922F8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19164" y="1255967"/>
          <a:ext cx="314639" cy="3901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36576" tIns="41148" rIns="36576" bIns="4114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2025" b="1" i="0" u="none" strike="noStrike" baseline="0">
              <a:solidFill>
                <a:srgbClr val="000000"/>
              </a:solidFill>
              <a:latin typeface="Arial"/>
              <a:cs typeface="Arial"/>
            </a:rPr>
            <a:t>**</a:t>
          </a:r>
        </a:p>
      </cdr:txBody>
    </cdr:sp>
  </cdr:relSizeAnchor>
  <cdr:relSizeAnchor xmlns:cdr="http://schemas.openxmlformats.org/drawingml/2006/chartDrawing">
    <cdr:from>
      <cdr:x>0.395</cdr:x>
      <cdr:y>0.062</cdr:y>
    </cdr:from>
    <cdr:to>
      <cdr:x>0.45625</cdr:x>
      <cdr:y>0.1935</cdr:y>
    </cdr:to>
    <cdr:sp macro="" textlink="">
      <cdr:nvSpPr>
        <cdr:cNvPr id="2053" name="Text Box 5">
          <a:extLst xmlns:a="http://schemas.openxmlformats.org/drawingml/2006/main">
            <a:ext uri="{FF2B5EF4-FFF2-40B4-BE49-F238E27FC236}">
              <a16:creationId xmlns:a16="http://schemas.microsoft.com/office/drawing/2014/main" id="{844CEC67-26F7-4E0F-AB7B-88180CA8E200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52079" y="179527"/>
          <a:ext cx="333708" cy="3807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45720" tIns="41148" rIns="45720" bIns="41148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2025" b="1" i="0" u="none" strike="noStrike" baseline="0">
              <a:solidFill>
                <a:srgbClr val="000000"/>
              </a:solidFill>
              <a:latin typeface="Arial"/>
              <a:cs typeface="Arial"/>
            </a:rPr>
            <a:t>*</a:t>
          </a:r>
        </a:p>
      </cdr:txBody>
    </cdr:sp>
  </cdr:relSizeAnchor>
  <cdr:relSizeAnchor xmlns:cdr="http://schemas.openxmlformats.org/drawingml/2006/chartDrawing">
    <cdr:from>
      <cdr:x>0.611</cdr:x>
      <cdr:y>0.0935</cdr:y>
    </cdr:from>
    <cdr:to>
      <cdr:x>0.66875</cdr:x>
      <cdr:y>0.22175</cdr:y>
    </cdr:to>
    <cdr:sp macro="" textlink="">
      <cdr:nvSpPr>
        <cdr:cNvPr id="2054" name="Text Box 6">
          <a:extLst xmlns:a="http://schemas.openxmlformats.org/drawingml/2006/main">
            <a:ext uri="{FF2B5EF4-FFF2-40B4-BE49-F238E27FC236}">
              <a16:creationId xmlns:a16="http://schemas.microsoft.com/office/drawing/2014/main" id="{9B76DA50-98BA-4E72-B762-9997DC326DA1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28911" y="270739"/>
          <a:ext cx="314640" cy="3713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45720" tIns="41148" rIns="45720" bIns="41148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2025" b="1" i="0" u="none" strike="noStrike" baseline="0">
              <a:solidFill>
                <a:srgbClr val="000000"/>
              </a:solidFill>
              <a:latin typeface="Arial"/>
              <a:cs typeface="Arial"/>
            </a:rPr>
            <a:t>*</a:t>
          </a:r>
        </a:p>
      </cdr:txBody>
    </cdr:sp>
  </cdr:relSizeAnchor>
  <cdr:relSizeAnchor xmlns:cdr="http://schemas.openxmlformats.org/drawingml/2006/chartDrawing">
    <cdr:from>
      <cdr:x>0.79425</cdr:x>
      <cdr:y>0.638</cdr:y>
    </cdr:from>
    <cdr:to>
      <cdr:x>0.969</cdr:x>
      <cdr:y>0.81225</cdr:y>
    </cdr:to>
    <cdr:sp macro="" textlink="">
      <cdr:nvSpPr>
        <cdr:cNvPr id="2055" name="Text Box 7">
          <a:extLst xmlns:a="http://schemas.openxmlformats.org/drawingml/2006/main">
            <a:ext uri="{FF2B5EF4-FFF2-40B4-BE49-F238E27FC236}">
              <a16:creationId xmlns:a16="http://schemas.microsoft.com/office/drawing/2014/main" id="{31933C14-7116-4B72-8425-BFB3718F51F3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27312" y="1847393"/>
          <a:ext cx="952091" cy="50455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27432" tIns="27432" rIns="27432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400" b="0" i="0" u="none" strike="noStrike" baseline="0">
              <a:solidFill>
                <a:srgbClr val="000000"/>
              </a:solidFill>
              <a:latin typeface="Arial"/>
              <a:cs typeface="Arial"/>
            </a:rPr>
            <a:t>* P &lt; 0,05</a:t>
          </a:r>
        </a:p>
        <a:p xmlns:a="http://schemas.openxmlformats.org/drawingml/2006/main">
          <a:pPr algn="ctr" rtl="0">
            <a:defRPr sz="1000"/>
          </a:pPr>
          <a:r>
            <a:rPr lang="ru-RU" sz="1400" b="0" i="0" u="none" strike="noStrike" baseline="0">
              <a:solidFill>
                <a:srgbClr val="000000"/>
              </a:solidFill>
              <a:latin typeface="Arial"/>
              <a:cs typeface="Arial"/>
            </a:rPr>
            <a:t>** P &lt; 0,01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0.65025</cdr:x>
      <cdr:y>0.23675</cdr:y>
    </cdr:from>
    <cdr:to>
      <cdr:x>0.715</cdr:x>
      <cdr:y>0.39275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08EC768C-FC47-419C-859D-0EB3EB7275BC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42757" y="462284"/>
          <a:ext cx="352778" cy="30460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4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**</a:t>
          </a:r>
        </a:p>
      </cdr:txBody>
    </cdr:sp>
  </cdr:relSizeAnchor>
  <cdr:relSizeAnchor xmlns:cdr="http://schemas.openxmlformats.org/drawingml/2006/chartDrawing">
    <cdr:from>
      <cdr:x>0.56325</cdr:x>
      <cdr:y>0.26225</cdr:y>
    </cdr:from>
    <cdr:to>
      <cdr:x>0.63675</cdr:x>
      <cdr:y>0.428</cdr:y>
    </cdr:to>
    <cdr:sp macro="" textlink="">
      <cdr:nvSpPr>
        <cdr:cNvPr id="1026" name="Text Box 2">
          <a:extLst xmlns:a="http://schemas.openxmlformats.org/drawingml/2006/main">
            <a:ext uri="{FF2B5EF4-FFF2-40B4-BE49-F238E27FC236}">
              <a16:creationId xmlns:a16="http://schemas.microsoft.com/office/drawing/2014/main" id="{A2F7379B-1C3A-46B7-ADF2-62D9F78CB698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68755" y="512076"/>
          <a:ext cx="400450" cy="32364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4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**</a:t>
          </a:r>
        </a:p>
      </cdr:txBody>
    </cdr:sp>
  </cdr:relSizeAnchor>
  <cdr:relSizeAnchor xmlns:cdr="http://schemas.openxmlformats.org/drawingml/2006/chartDrawing">
    <cdr:from>
      <cdr:x>0.60375</cdr:x>
      <cdr:y>0.31225</cdr:y>
    </cdr:from>
    <cdr:to>
      <cdr:x>0.66325</cdr:x>
      <cdr:y>0.5025</cdr:y>
    </cdr:to>
    <cdr:sp macro="" textlink="">
      <cdr:nvSpPr>
        <cdr:cNvPr id="1027" name="Text Box 3">
          <a:extLst xmlns:a="http://schemas.openxmlformats.org/drawingml/2006/main">
            <a:ext uri="{FF2B5EF4-FFF2-40B4-BE49-F238E27FC236}">
              <a16:creationId xmlns:a16="http://schemas.microsoft.com/office/drawing/2014/main" id="{034D6EEC-D285-41A1-80FC-DDE89B3F78EA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89411" y="609707"/>
          <a:ext cx="324174" cy="3714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4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*</a:t>
          </a:r>
        </a:p>
      </cdr:txBody>
    </cdr:sp>
  </cdr:relSizeAnchor>
  <cdr:relSizeAnchor xmlns:cdr="http://schemas.openxmlformats.org/drawingml/2006/chartDrawing">
    <cdr:from>
      <cdr:x>0.3835</cdr:x>
      <cdr:y>0.0495</cdr:y>
    </cdr:from>
    <cdr:to>
      <cdr:x>0.443</cdr:x>
      <cdr:y>0.2055</cdr:y>
    </cdr:to>
    <cdr:sp macro="" textlink="">
      <cdr:nvSpPr>
        <cdr:cNvPr id="1028" name="Text Box 4">
          <a:extLst xmlns:a="http://schemas.openxmlformats.org/drawingml/2006/main">
            <a:ext uri="{FF2B5EF4-FFF2-40B4-BE49-F238E27FC236}">
              <a16:creationId xmlns:a16="http://schemas.microsoft.com/office/drawing/2014/main" id="{25B78DEF-2969-479E-A840-8EB075D571F5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89423" y="96655"/>
          <a:ext cx="324174" cy="30460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4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**</a:t>
          </a:r>
        </a:p>
      </cdr:txBody>
    </cdr:sp>
  </cdr:relSizeAnchor>
  <cdr:relSizeAnchor xmlns:cdr="http://schemas.openxmlformats.org/drawingml/2006/chartDrawing">
    <cdr:from>
      <cdr:x>0.30425</cdr:x>
      <cdr:y>0.11725</cdr:y>
    </cdr:from>
    <cdr:to>
      <cdr:x>0.404</cdr:x>
      <cdr:y>0.3075</cdr:y>
    </cdr:to>
    <cdr:sp macro="" textlink="">
      <cdr:nvSpPr>
        <cdr:cNvPr id="1029" name="Text Box 5">
          <a:extLst xmlns:a="http://schemas.openxmlformats.org/drawingml/2006/main">
            <a:ext uri="{FF2B5EF4-FFF2-40B4-BE49-F238E27FC236}">
              <a16:creationId xmlns:a16="http://schemas.microsoft.com/office/drawing/2014/main" id="{DB65EED5-2A66-4EE1-A69F-CC3C66AAA306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57645" y="228945"/>
          <a:ext cx="543468" cy="3714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4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**</a:t>
          </a:r>
        </a:p>
      </cdr:txBody>
    </cdr:sp>
  </cdr:relSizeAnchor>
  <cdr:relSizeAnchor xmlns:cdr="http://schemas.openxmlformats.org/drawingml/2006/chartDrawing">
    <cdr:from>
      <cdr:x>0.2805</cdr:x>
      <cdr:y>0.20525</cdr:y>
    </cdr:from>
    <cdr:to>
      <cdr:x>0.3645</cdr:x>
      <cdr:y>0.36125</cdr:y>
    </cdr:to>
    <cdr:sp macro="" textlink="">
      <cdr:nvSpPr>
        <cdr:cNvPr id="1030" name="Text Box 6">
          <a:extLst xmlns:a="http://schemas.openxmlformats.org/drawingml/2006/main">
            <a:ext uri="{FF2B5EF4-FFF2-40B4-BE49-F238E27FC236}">
              <a16:creationId xmlns:a16="http://schemas.microsoft.com/office/drawing/2014/main" id="{ECE1B292-85A6-4D1D-A2ED-1404B6A5806D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28248" y="400776"/>
          <a:ext cx="457657" cy="3046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4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**</a:t>
          </a:r>
        </a:p>
      </cdr:txBody>
    </cdr:sp>
  </cdr:relSizeAnchor>
  <cdr:relSizeAnchor xmlns:cdr="http://schemas.openxmlformats.org/drawingml/2006/chartDrawing">
    <cdr:from>
      <cdr:x>0.2515</cdr:x>
      <cdr:y>0.23675</cdr:y>
    </cdr:from>
    <cdr:to>
      <cdr:x>0.304</cdr:x>
      <cdr:y>0.4025</cdr:y>
    </cdr:to>
    <cdr:sp macro="" textlink="">
      <cdr:nvSpPr>
        <cdr:cNvPr id="1031" name="Text Box 7">
          <a:extLst xmlns:a="http://schemas.openxmlformats.org/drawingml/2006/main">
            <a:ext uri="{FF2B5EF4-FFF2-40B4-BE49-F238E27FC236}">
              <a16:creationId xmlns:a16="http://schemas.microsoft.com/office/drawing/2014/main" id="{725EFF46-77A2-410D-BD2D-C2FA6008A5C0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70247" y="462284"/>
          <a:ext cx="286036" cy="32364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4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**</a:t>
          </a:r>
        </a:p>
      </cdr:txBody>
    </cdr:sp>
  </cdr:relSizeAnchor>
  <cdr:relSizeAnchor xmlns:cdr="http://schemas.openxmlformats.org/drawingml/2006/chartDrawing">
    <cdr:from>
      <cdr:x>0.016</cdr:x>
      <cdr:y>0.012</cdr:y>
    </cdr:from>
    <cdr:to>
      <cdr:x>0.10175</cdr:x>
      <cdr:y>0.168</cdr:y>
    </cdr:to>
    <cdr:sp macro="" textlink="">
      <cdr:nvSpPr>
        <cdr:cNvPr id="1032" name="Text Box 8">
          <a:extLst xmlns:a="http://schemas.openxmlformats.org/drawingml/2006/main">
            <a:ext uri="{FF2B5EF4-FFF2-40B4-BE49-F238E27FC236}">
              <a16:creationId xmlns:a16="http://schemas.microsoft.com/office/drawing/2014/main" id="{B67662A9-A637-45BA-AC66-CC56AD468D21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7173" y="23432"/>
          <a:ext cx="467192" cy="30460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  <cdr:relSizeAnchor xmlns:cdr="http://schemas.openxmlformats.org/drawingml/2006/chartDrawing">
    <cdr:from>
      <cdr:x>0.00525</cdr:x>
      <cdr:y>0.7055</cdr:y>
    </cdr:from>
    <cdr:to>
      <cdr:x>0.8025</cdr:x>
      <cdr:y>0.93475</cdr:y>
    </cdr:to>
    <cdr:sp macro="" textlink="">
      <cdr:nvSpPr>
        <cdr:cNvPr id="1033" name="Text Box 9">
          <a:extLst xmlns:a="http://schemas.openxmlformats.org/drawingml/2006/main">
            <a:ext uri="{FF2B5EF4-FFF2-40B4-BE49-F238E27FC236}">
              <a16:creationId xmlns:a16="http://schemas.microsoft.com/office/drawing/2014/main" id="{9AA3DD0F-E593-4A35-AFE4-1A3683FE34C4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604" y="1377577"/>
          <a:ext cx="4343657" cy="4476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  * P &lt; 0 , 0 5</a:t>
          </a:r>
        </a:p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* * P &lt; 0 , 0 1 д о с т о в е р н о с т ь  о т л и ч и я  с  I  г р у п п о 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0.36175</cdr:x>
      <cdr:y>0.505</cdr:y>
    </cdr:from>
    <cdr:to>
      <cdr:x>0.3835</cdr:x>
      <cdr:y>0.65325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0845AA44-30AA-4503-9A7F-073E651ED043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33171" y="875443"/>
          <a:ext cx="104206" cy="2569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27432" tIns="32004" rIns="27432" bIns="32004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55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*</a:t>
          </a:r>
        </a:p>
      </cdr:txBody>
    </cdr:sp>
  </cdr:relSizeAnchor>
  <cdr:relSizeAnchor xmlns:cdr="http://schemas.openxmlformats.org/drawingml/2006/chartDrawing">
    <cdr:from>
      <cdr:x>0.348</cdr:x>
      <cdr:y>0.2625</cdr:y>
    </cdr:from>
    <cdr:to>
      <cdr:x>0.4255</cdr:x>
      <cdr:y>0.44375</cdr:y>
    </cdr:to>
    <cdr:sp macro="" textlink="">
      <cdr:nvSpPr>
        <cdr:cNvPr id="1027" name="Text Box 3">
          <a:extLst xmlns:a="http://schemas.openxmlformats.org/drawingml/2006/main">
            <a:ext uri="{FF2B5EF4-FFF2-40B4-BE49-F238E27FC236}">
              <a16:creationId xmlns:a16="http://schemas.microsoft.com/office/drawing/2014/main" id="{ECFC0811-1CCF-456F-80F4-0042768B253A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67294" y="455057"/>
          <a:ext cx="371308" cy="31420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6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**</a:t>
          </a:r>
        </a:p>
      </cdr:txBody>
    </cdr:sp>
  </cdr:relSizeAnchor>
  <cdr:relSizeAnchor xmlns:cdr="http://schemas.openxmlformats.org/drawingml/2006/chartDrawing">
    <cdr:from>
      <cdr:x>0.68875</cdr:x>
      <cdr:y>0.1815</cdr:y>
    </cdr:from>
    <cdr:to>
      <cdr:x>0.76225</cdr:x>
      <cdr:y>0.36275</cdr:y>
    </cdr:to>
    <cdr:sp macro="" textlink="">
      <cdr:nvSpPr>
        <cdr:cNvPr id="1028" name="Text Box 4">
          <a:extLst xmlns:a="http://schemas.openxmlformats.org/drawingml/2006/main">
            <a:ext uri="{FF2B5EF4-FFF2-40B4-BE49-F238E27FC236}">
              <a16:creationId xmlns:a16="http://schemas.microsoft.com/office/drawing/2014/main" id="{949B8BD2-F323-40AB-A865-DD834FC6CEC9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99853" y="314639"/>
          <a:ext cx="352144" cy="31420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6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**</a:t>
          </a:r>
        </a:p>
      </cdr:txBody>
    </cdr:sp>
  </cdr:relSizeAnchor>
  <cdr:relSizeAnchor xmlns:cdr="http://schemas.openxmlformats.org/drawingml/2006/chartDrawing">
    <cdr:from>
      <cdr:x>0.51575</cdr:x>
      <cdr:y>0.1275</cdr:y>
    </cdr:from>
    <cdr:to>
      <cdr:x>0.58925</cdr:x>
      <cdr:y>0.30875</cdr:y>
    </cdr:to>
    <cdr:sp macro="" textlink="">
      <cdr:nvSpPr>
        <cdr:cNvPr id="1029" name="Text Box 5">
          <a:extLst xmlns:a="http://schemas.openxmlformats.org/drawingml/2006/main">
            <a:ext uri="{FF2B5EF4-FFF2-40B4-BE49-F238E27FC236}">
              <a16:creationId xmlns:a16="http://schemas.microsoft.com/office/drawing/2014/main" id="{1ADD6B29-4F7D-492A-8F9C-BAFA52D1850F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70997" y="221028"/>
          <a:ext cx="352144" cy="31420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6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**</a:t>
          </a:r>
        </a:p>
      </cdr:txBody>
    </cdr:sp>
  </cdr:relSizeAnchor>
  <cdr:relSizeAnchor xmlns:cdr="http://schemas.openxmlformats.org/drawingml/2006/chartDrawing">
    <cdr:from>
      <cdr:x>0.85325</cdr:x>
      <cdr:y>0.1815</cdr:y>
    </cdr:from>
    <cdr:to>
      <cdr:x>0.93075</cdr:x>
      <cdr:y>0.37375</cdr:y>
    </cdr:to>
    <cdr:sp macro="" textlink="">
      <cdr:nvSpPr>
        <cdr:cNvPr id="1030" name="Text Box 6">
          <a:extLst xmlns:a="http://schemas.openxmlformats.org/drawingml/2006/main">
            <a:ext uri="{FF2B5EF4-FFF2-40B4-BE49-F238E27FC236}">
              <a16:creationId xmlns:a16="http://schemas.microsoft.com/office/drawing/2014/main" id="{9BC7AF59-EA0E-4366-A2A8-A0E59723CA12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87985" y="314639"/>
          <a:ext cx="371308" cy="3332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6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**</a:t>
          </a:r>
        </a:p>
      </cdr:txBody>
    </cdr:sp>
  </cdr:relSizeAnchor>
  <cdr:relSizeAnchor xmlns:cdr="http://schemas.openxmlformats.org/drawingml/2006/chartDrawing">
    <cdr:from>
      <cdr:x>0.9065</cdr:x>
      <cdr:y>0.4585</cdr:y>
    </cdr:from>
    <cdr:to>
      <cdr:x>0.984</cdr:x>
      <cdr:y>0.65075</cdr:y>
    </cdr:to>
    <cdr:sp macro="" textlink="">
      <cdr:nvSpPr>
        <cdr:cNvPr id="1031" name="Text Box 7">
          <a:extLst xmlns:a="http://schemas.openxmlformats.org/drawingml/2006/main">
            <a:ext uri="{FF2B5EF4-FFF2-40B4-BE49-F238E27FC236}">
              <a16:creationId xmlns:a16="http://schemas.microsoft.com/office/drawing/2014/main" id="{00047B26-440D-4FD1-9566-64B347C53651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43109" y="794833"/>
          <a:ext cx="371309" cy="3332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6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**</a:t>
          </a:r>
        </a:p>
      </cdr:txBody>
    </cdr:sp>
  </cdr:relSizeAnchor>
  <cdr:relSizeAnchor xmlns:cdr="http://schemas.openxmlformats.org/drawingml/2006/chartDrawing">
    <cdr:from>
      <cdr:x>0.85325</cdr:x>
      <cdr:y>0.6275</cdr:y>
    </cdr:from>
    <cdr:to>
      <cdr:x>0.93075</cdr:x>
      <cdr:y>0.81975</cdr:y>
    </cdr:to>
    <cdr:sp macro="" textlink="">
      <cdr:nvSpPr>
        <cdr:cNvPr id="1032" name="Text Box 8">
          <a:extLst xmlns:a="http://schemas.openxmlformats.org/drawingml/2006/main">
            <a:ext uri="{FF2B5EF4-FFF2-40B4-BE49-F238E27FC236}">
              <a16:creationId xmlns:a16="http://schemas.microsoft.com/office/drawing/2014/main" id="{54D0ABF6-D08E-4DBE-8D1F-737A3712035B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87985" y="1087803"/>
          <a:ext cx="371308" cy="3332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6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**</a:t>
          </a:r>
        </a:p>
      </cdr:txBody>
    </cdr:sp>
  </cdr:relSizeAnchor>
  <cdr:relSizeAnchor xmlns:cdr="http://schemas.openxmlformats.org/drawingml/2006/chartDrawing">
    <cdr:from>
      <cdr:x>0.68625</cdr:x>
      <cdr:y>0.6275</cdr:y>
    </cdr:from>
    <cdr:to>
      <cdr:x>0.76375</cdr:x>
      <cdr:y>0.81975</cdr:y>
    </cdr:to>
    <cdr:sp macro="" textlink="">
      <cdr:nvSpPr>
        <cdr:cNvPr id="1033" name="Text Box 9">
          <a:extLst xmlns:a="http://schemas.openxmlformats.org/drawingml/2006/main">
            <a:ext uri="{FF2B5EF4-FFF2-40B4-BE49-F238E27FC236}">
              <a16:creationId xmlns:a16="http://schemas.microsoft.com/office/drawing/2014/main" id="{E4508AA7-F2E7-42B4-8EAD-40FDD86FD0B0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87875" y="1087803"/>
          <a:ext cx="371309" cy="3332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6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**</a:t>
          </a:r>
        </a:p>
      </cdr:txBody>
    </cdr:sp>
  </cdr:relSizeAnchor>
  <cdr:relSizeAnchor xmlns:cdr="http://schemas.openxmlformats.org/drawingml/2006/chartDrawing">
    <cdr:from>
      <cdr:x>0.72325</cdr:x>
      <cdr:y>0.42725</cdr:y>
    </cdr:from>
    <cdr:to>
      <cdr:x>0.80075</cdr:x>
      <cdr:y>0.6195</cdr:y>
    </cdr:to>
    <cdr:sp macro="" textlink="">
      <cdr:nvSpPr>
        <cdr:cNvPr id="1034" name="Text Box 10">
          <a:extLst xmlns:a="http://schemas.openxmlformats.org/drawingml/2006/main">
            <a:ext uri="{FF2B5EF4-FFF2-40B4-BE49-F238E27FC236}">
              <a16:creationId xmlns:a16="http://schemas.microsoft.com/office/drawing/2014/main" id="{409E08E8-E6FB-4132-B77B-7B003B9E69FC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65145" y="740659"/>
          <a:ext cx="371308" cy="3332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6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**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0.34025</cdr:x>
      <cdr:y>0.224</cdr:y>
    </cdr:from>
    <cdr:to>
      <cdr:x>0.366</cdr:x>
      <cdr:y>0.41625</cdr:y>
    </cdr:to>
    <cdr:sp macro="" textlink="">
      <cdr:nvSpPr>
        <cdr:cNvPr id="2049" name="Text Box 1">
          <a:extLst xmlns:a="http://schemas.openxmlformats.org/drawingml/2006/main">
            <a:ext uri="{FF2B5EF4-FFF2-40B4-BE49-F238E27FC236}">
              <a16:creationId xmlns:a16="http://schemas.microsoft.com/office/drawing/2014/main" id="{A33E5F44-0EE4-46D1-82F6-1AD1E6ECC6A4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30163" y="388315"/>
          <a:ext cx="123370" cy="3332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36576" tIns="41148" rIns="36576" bIns="4114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20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*</a:t>
          </a:r>
        </a:p>
      </cdr:txBody>
    </cdr:sp>
  </cdr:relSizeAnchor>
  <cdr:relSizeAnchor xmlns:cdr="http://schemas.openxmlformats.org/drawingml/2006/chartDrawing">
    <cdr:from>
      <cdr:x>0.85775</cdr:x>
      <cdr:y>0.006</cdr:y>
    </cdr:from>
    <cdr:to>
      <cdr:x>0.8835</cdr:x>
      <cdr:y>0.19825</cdr:y>
    </cdr:to>
    <cdr:sp macro="" textlink="">
      <cdr:nvSpPr>
        <cdr:cNvPr id="2050" name="Text Box 2">
          <a:extLst xmlns:a="http://schemas.openxmlformats.org/drawingml/2006/main">
            <a:ext uri="{FF2B5EF4-FFF2-40B4-BE49-F238E27FC236}">
              <a16:creationId xmlns:a16="http://schemas.microsoft.com/office/drawing/2014/main" id="{92B43BBD-68AC-466B-99AE-2784BE4925D4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09545" y="10401"/>
          <a:ext cx="123370" cy="3332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36576" tIns="41148" rIns="36576" bIns="4114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20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*</a:t>
          </a:r>
        </a:p>
      </cdr:txBody>
    </cdr:sp>
  </cdr:relSizeAnchor>
  <cdr:relSizeAnchor xmlns:cdr="http://schemas.openxmlformats.org/drawingml/2006/chartDrawing">
    <cdr:from>
      <cdr:x>0.68475</cdr:x>
      <cdr:y>0.0425</cdr:y>
    </cdr:from>
    <cdr:to>
      <cdr:x>0.7105</cdr:x>
      <cdr:y>0.23475</cdr:y>
    </cdr:to>
    <cdr:sp macro="" textlink="">
      <cdr:nvSpPr>
        <cdr:cNvPr id="2051" name="Text Box 3">
          <a:extLst xmlns:a="http://schemas.openxmlformats.org/drawingml/2006/main">
            <a:ext uri="{FF2B5EF4-FFF2-40B4-BE49-F238E27FC236}">
              <a16:creationId xmlns:a16="http://schemas.microsoft.com/office/drawing/2014/main" id="{FC620161-F825-4653-9EC8-496F61B3D78E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80689" y="73676"/>
          <a:ext cx="123370" cy="3332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36576" tIns="41148" rIns="36576" bIns="4114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20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*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5140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ВЫВОДЫ</vt:lpstr>
    </vt:vector>
  </TitlesOfParts>
  <Company>11 ГКБ</Company>
  <LinksUpToDate>false</LinksUpToDate>
  <CharactersWithSpaces>34370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ВЫВОДЫ</dc:title>
  <dc:subject/>
  <dc:creator>Katya Lazhintseva</dc:creator>
  <cp:keywords/>
  <dc:description/>
  <cp:lastModifiedBy>Igor</cp:lastModifiedBy>
  <cp:revision>3</cp:revision>
  <cp:lastPrinted>1998-06-22T07:16:00Z</cp:lastPrinted>
  <dcterms:created xsi:type="dcterms:W3CDTF">2024-11-06T06:29:00Z</dcterms:created>
  <dcterms:modified xsi:type="dcterms:W3CDTF">2024-11-06T06:29:00Z</dcterms:modified>
</cp:coreProperties>
</file>