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32" w:rsidRPr="004A19A4" w:rsidRDefault="00FB6532" w:rsidP="00FB653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A19A4">
        <w:rPr>
          <w:b/>
          <w:bCs/>
          <w:sz w:val="32"/>
          <w:szCs w:val="32"/>
        </w:rPr>
        <w:t>Остеопороз</w:t>
      </w:r>
    </w:p>
    <w:p w:rsidR="00FB6532" w:rsidRPr="00FB6532" w:rsidRDefault="00FB6532" w:rsidP="00FB6532">
      <w:pPr>
        <w:spacing w:before="120"/>
        <w:jc w:val="center"/>
        <w:rPr>
          <w:sz w:val="28"/>
          <w:szCs w:val="28"/>
        </w:rPr>
      </w:pPr>
      <w:r w:rsidRPr="00FB6532">
        <w:rPr>
          <w:sz w:val="28"/>
          <w:szCs w:val="28"/>
        </w:rPr>
        <w:t>А.Г. Щеглов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>Остеопороз</w:t>
      </w:r>
      <w:r>
        <w:t xml:space="preserve"> </w:t>
      </w:r>
      <w:r w:rsidRPr="004A19A4">
        <w:t>— это системное заболевание скелета, характеризующееся снижением костной плотности и нарушением микроархитектоники костной ткани. Наиболее значительный клинический аспект</w:t>
      </w:r>
      <w:r>
        <w:t xml:space="preserve"> </w:t>
      </w:r>
      <w:r w:rsidRPr="004A19A4">
        <w:t xml:space="preserve">— переломы шейки бедра, позвоночника и запястья. </w:t>
      </w:r>
    </w:p>
    <w:p w:rsidR="00FB6532" w:rsidRPr="004A19A4" w:rsidRDefault="00FB6532" w:rsidP="00FB6532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Эпидемиология и медико-социальная значимость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>Это типичная болезнь 21 века, перерастающая из «невидимой эпидемии» в «планетарную пандемию». Остеопорозом страдают от 1/3 до половины женщин после 40 лет и половина популяции обоих полов после 75 лет (факторы риска развития вторичного о/пороза имеют 40% мужчин и 25% женщин). У европеек риск переломов</w:t>
      </w:r>
      <w:r>
        <w:t xml:space="preserve"> </w:t>
      </w:r>
      <w:r w:rsidRPr="004A19A4">
        <w:t>— 15%, после 80 лет риск переломов у каждой женщины возрастает на 3% ежегодно. Средний возраст при переломах позвоночника 65 лет, при переломах шейки бедра — 80 лет. После перелома шейки бедра до 25% пациентов умирают в течение 6 месяцев, только от 20 до 50% пациентов возвращаются к прежнему уровню подвижности и могут обходиться без посторонней помощи. Возрастной период развития остеопороза с течением времени неуклонно снижается, количество переломов увеличивается. По отчетам ВОЗ в 1990</w:t>
      </w:r>
      <w:r>
        <w:t xml:space="preserve"> </w:t>
      </w:r>
      <w:r w:rsidRPr="004A19A4">
        <w:t>г. зафиксировано 1,7 млн. переломов шейки бедра, а в 2050</w:t>
      </w:r>
      <w:r>
        <w:t xml:space="preserve"> </w:t>
      </w:r>
      <w:r w:rsidRPr="004A19A4">
        <w:t>г. ожидается порядка 6 млн.</w:t>
      </w:r>
    </w:p>
    <w:p w:rsidR="00FB6532" w:rsidRPr="004A19A4" w:rsidRDefault="00FB6532" w:rsidP="00FB6532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Этиология и патогенез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>Кость является одной из форм соединительной ткани, состоящей из коллагенового матрикса, минерализованного кристаллами фосфата кальция (т.е. белок + кальций + фосфор). Как и любая живая ткань, кость постоянно формируется и резорбируется (формируется остеобластами и резорбируется остеокластами, что называется ремоделированием). Таким образом, ежегодно обновляется 4—10% общего объема кости. Нарушение баланса ремоделирования как при снижении формирования, так и ускорение резорбции приводит к остеопорозу, являющемуся полифакториальным заболеванием. Рейнберг</w:t>
      </w:r>
      <w:r>
        <w:t xml:space="preserve"> </w:t>
      </w:r>
      <w:r w:rsidRPr="004A19A4">
        <w:t>С.А. («Рентгенодиагностика заболеваний костей конечностей»): «Костная система</w:t>
      </w:r>
      <w:r>
        <w:t xml:space="preserve"> </w:t>
      </w:r>
      <w:r w:rsidRPr="004A19A4">
        <w:t>— это зеркало, отражающее нормальные и патологические процессы в других органах, системах и во всем организме в целом».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>Причин остеопороза может быть много, поскольку соотношение между резорбцией и формированием костной ткани регулируется: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ионами кальция;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кальцитриолом (1,25 дигидрокси витамин Д3);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факторами роста (ИПФР 1 и 2, ТФР бета), которые вырабатываются под воздействием соматотропина;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паратиреоидным гормоном (ПТГ);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кальцитонином;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>местными факторами</w:t>
      </w:r>
      <w:r>
        <w:t xml:space="preserve"> </w:t>
      </w:r>
      <w:r w:rsidRPr="004A19A4">
        <w:t xml:space="preserve">— цитокинами (интерлейкины 1, 6, 11) и ПГ Е2, зависящими от воспалительных реакций, соматических и механических стрессов;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уровнем эстрогенов и тестостерона;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уровнем глюкортикоидных гормонов;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уровнем инсулина;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активностью рецепторов Д3 (ВДР) в кишечнике и костях;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lastRenderedPageBreak/>
        <w:t xml:space="preserve">генетическими факторами (ВДР-ген полиморфен и ВВ-генотип у 16% людей!); белокожие североевропейские астеники угрожаемы по развитию остеопороза больше, чем прочие особи.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>Большое значение имеют дефекты стиля жизни: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курение и алкоголь оказывают как прямое токсическое действие на костную ткань, так и опосредованно влияют на ремоделирование, негативно действуя на кишечник, печень и метаболизм,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избыток в питании углеводов и фосфатов (сахаросодержащие газированые тоники), кофеина и соли увеличивает выведение Са с мочой,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избыточный прием грубоволокнистой пищи уменьшает всасывание Са в кишечнике,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недостаточная инсоляция (мало солнца) приводит к дефициту Д3,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гиподинамия приводит к быстрому развитию нейроциркуляторных расстройств и активизации цитокинов, что приводит к деминерализации и нарушению микроархитектоники костей, 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 xml:space="preserve">нарушения осанки формируют «напряжения усталости», влияющие на плотность трабекул. </w:t>
      </w:r>
    </w:p>
    <w:p w:rsidR="00FB6532" w:rsidRPr="004A19A4" w:rsidRDefault="00FB6532" w:rsidP="00FB6532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Диагностика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>Лечить остеопороз без должного обследования нельзя! По рекомендации ВОЗ наиболее приемлемый метод аппаратной диагностики остеопороза</w:t>
      </w:r>
      <w:r>
        <w:t xml:space="preserve"> </w:t>
      </w:r>
      <w:r w:rsidRPr="004A19A4">
        <w:t>— рентгеновская остеоденситометрия (запись по тел. (812)</w:t>
      </w:r>
      <w:r>
        <w:t xml:space="preserve"> </w:t>
      </w:r>
      <w:r w:rsidRPr="004A19A4">
        <w:t>558-86-49</w:t>
      </w:r>
      <w:r>
        <w:t xml:space="preserve"> </w:t>
      </w:r>
      <w:r w:rsidRPr="004A19A4">
        <w:t>— 122 МСЧ).</w:t>
      </w:r>
    </w:p>
    <w:p w:rsidR="00FB6532" w:rsidRPr="004A19A4" w:rsidRDefault="00FB6532" w:rsidP="00FB6532">
      <w:pPr>
        <w:spacing w:before="120"/>
        <w:ind w:firstLine="567"/>
        <w:jc w:val="both"/>
      </w:pPr>
      <w:r w:rsidRPr="004A19A4">
        <w:t>Полезно определение б/х параметров: Са общий (2,2—2,75 ммоль/л) и ионизированный (1,08—1,32 ммоль/л), Р (0,8—1,55 ммоль/л взрослые; 1,5—1,8 дети), Mg (0,65—0,95 ммоль/л), общая щелочная фосфатаза (80—295 ммоль/л), ПТГ (15—60 пмоль/л); и уровни остеокальцина (маркера остеосинтеза) и 25-ОН витамина Д.</w:t>
      </w:r>
    </w:p>
    <w:p w:rsidR="00FB6532" w:rsidRPr="004A19A4" w:rsidRDefault="00FB6532" w:rsidP="00FB6532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Список литературы</w:t>
      </w:r>
    </w:p>
    <w:p w:rsidR="00FB6532" w:rsidRDefault="00FB6532" w:rsidP="00FB6532">
      <w:pPr>
        <w:spacing w:before="120"/>
        <w:ind w:firstLine="567"/>
        <w:jc w:val="both"/>
      </w:pPr>
      <w:r w:rsidRPr="004A19A4">
        <w:t xml:space="preserve">Для подготовки данной работы были использованы материалы с сайта </w:t>
      </w:r>
      <w:hyperlink r:id="rId5" w:history="1">
        <w:r w:rsidRPr="0008284F">
          <w:rPr>
            <w:rStyle w:val="a3"/>
          </w:rPr>
          <w:t>http://www.aumworld.ru/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32"/>
    <w:rsid w:val="0008284F"/>
    <w:rsid w:val="00095BA6"/>
    <w:rsid w:val="0031418A"/>
    <w:rsid w:val="003859A1"/>
    <w:rsid w:val="004A19A4"/>
    <w:rsid w:val="005A2562"/>
    <w:rsid w:val="00A44D32"/>
    <w:rsid w:val="00E12572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6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6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mworl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3540</Characters>
  <Application>Microsoft Office Word</Application>
  <DocSecurity>0</DocSecurity>
  <Lines>29</Lines>
  <Paragraphs>8</Paragraphs>
  <ScaleCrop>false</ScaleCrop>
  <Company>Home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Остеопороз</dc:title>
  <dc:creator>Alena</dc:creator>
  <cp:lastModifiedBy>Igor</cp:lastModifiedBy>
  <cp:revision>2</cp:revision>
  <dcterms:created xsi:type="dcterms:W3CDTF">2024-10-05T15:29:00Z</dcterms:created>
  <dcterms:modified xsi:type="dcterms:W3CDTF">2024-10-05T15:29:00Z</dcterms:modified>
</cp:coreProperties>
</file>