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sz w:val="28"/>
          <w:szCs w:val="20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Освещенность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Солнечная радиация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 — электромагнитное и корпускулярное излучение Солнца. Солнечная радиация измеряется по её тепловому действию (калории на единицу поверхности за единицу времени) и интенсивности (ватты на единицу поверхности). В целом, Земля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получает от Солнца менее 0,5×10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−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9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от его излучения. Электромагнитная составляющая солнечной радиации распространяется со скоростью света и проникает в земную атмосферу. До земной поверхности солнечная радиация доходит в виде прямой и рассеянной радиации.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Всего Земля получает от Солнца менее одной двухмиллиардной его излучения. 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Спектральный диапазон электромагнитного излучения Солнца очень широк — от радиоволн до рентгеновских лучей — однако максимум его интенсивности приходится на видимую (жёлто-зелёную)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часть спектра.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Солнечная радиация — главный источник энергии для всех физико-географических процессов, происходящих на земной поверхности и в атмосфере. Количество солнечной радиации зависит от высоты солнца, времени года, прозрачности атмосферы. Для изме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рения солнечной радиации служат пиранометры и пиргелиометры.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Освещение естественное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Световой фактор имеет высокое биологическое значение, играет первостепенную роль в регуляции важнейших функций организма.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Инсоляция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– освещенность прямым солнечным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светом; норма для жилых зданий – 3 часа/сутки. Под влиянием света в организме происходит уменьшение газообмена, усиливается белковый обмен, нормализуется минеральный обмен. Под влиянием УФ-лучей образуются биологически активные вещества и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витамин.Д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что ук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репляет скелет организма. Солнечные лучи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бактерицидны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 убивают микроорганизмы - дезинфицируют помещение, уменьшают сырость, предупреждая развитие плесени.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Естественное освещение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помещений создается за счет прямого, рассеянного и отраженного солнечного све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та. Оно может быть боковым, верхним, комбинированным. Освещение комнат зависит от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ориентации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помещений – расположенности окон здания по странам света. Оптимальная ориентация окон в умеренном климате жилых зданий – Юго-запад и Юго-Восток, школах – Восток. У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ровень естественного освещения оценивается с помощью относительных показателей – КЕО и СК.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КЕО (коэффициент естественной освещенности)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отражает отношение освещенности внутри помещения к одновременно замеренной освещенности снаружи, измеряется в %. Норма –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менее 0,5-0,7 %. Существует 2 метода определения КЕО: инструментальное и расчетное.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СК (световой коэффициент)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– отношение площади остекления окон к площади пола – в виде дроби, где числитель – «1», а знаменатель – число, показывающее какую часть от п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лощади пола занимает остекленная поверхность рам; норма – 1/6-1/8.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shd w:val="clear" w:color="auto" w:fill="FFFFFF"/>
          <w:lang w:eastAsia="ru-RU"/>
        </w:rPr>
        <w:t>Естественное освещение в жилых зданиях зависит от ряда факторов: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1.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ориентации окон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 по странам света: с гигиенической точки зрения целесообразна ориентация на Юг и Юго-Восток. В наших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широтах (средних) ось здания следует направлять с Северо-Востока на Юго-запад – при этом жилые помещения расположатся на Юго-Восток, а вспомогательные на Северо-Запад. Западное расположение жилых помещений не рекомендуется: значительная радиация летом и не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значительная зимой;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размера и расположения окон: 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расположение окна ближе к потолку способствует более глубокому проникновению света. Ширина простенков не должна превышать полуторную ширину оконных проемов. Лучше прямоугольные окна;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3. 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глубины комнаты –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 расстояния от стены с окном до другой стены. Оно недолжно. превышать расстояния от верхнего края окна до пола более, чем в 2 раза.;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4.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разрывом между соседними зданиями –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 должно быть не менее двойной высоты противоположного здания;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lastRenderedPageBreak/>
        <w:t xml:space="preserve"> 5.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качеством стекол и с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тепенью их чистоты: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 xml:space="preserve"> чистые стекла и так поглощают УФ-лучи, а загрязненные еще и свет – до 25-50%, занавески – до 40% света;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6.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u w:val="single"/>
          <w:lang w:eastAsia="ru-RU"/>
        </w:rPr>
        <w:t>характером окраски стен и потолка: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 светлые тона отражают свет, увеличивая освещенность.</w:t>
      </w:r>
    </w:p>
    <w:p w:rsidR="00FD12AF" w:rsidRDefault="00FD12AF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</w:pP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 Освещение искусственное.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Недостаток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естественного освещения компенсируется искусственными источниками: лампами накаливания или люминесцентными. В лампах накаливания только 7-12% потребленной энергии превращается в световую энергию, остальная часть – в тепловую.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Требования к искусственному о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свещению: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1) достаточность для проведения определенного вида работ;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2) равномерное в пространстве;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3) без блескости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4) теней.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Нормативы освещенности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устанавливаются в зависимости: от условий зрительной работы, системы освещения и типа светильника. Нор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мы освещенности в жилых комнатах – 75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на кухне – 100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 чтении - 300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оценки качества искусственного освещения существуют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shd w:val="clear" w:color="auto" w:fill="FFFFFF"/>
          <w:lang w:eastAsia="ru-RU"/>
        </w:rPr>
        <w:t>дополнительные показатели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а) показатель дискомфорта, оценивающий блескость;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б) коэффициент пульсации освещенности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в) показатель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ослепленности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выражающийся в отношении освещенности видимой части жилища при экранировании к видимой части без экранирования (при блескости).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D12AF" w:rsidRDefault="00CE1110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Люминесцентные лампы более экономичны при одинаковой затрате энергии, обладают большей световой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отдачей, спектр их излучения приближается к спектру дневного света, создает мягкий рассеянный свет, не дает теней, не требует абажуров. Но обладает пульсацией и ниже 75 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лк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наблюдается «сумеречный эффект», оцениваемый субъективно как недостаточное освещени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е, поэтому при этих лампах устанавливается большая норма освещенности.</w:t>
      </w:r>
    </w:p>
    <w:p w:rsidR="00FD12AF" w:rsidRDefault="00FD12AF">
      <w:pPr>
        <w:spacing w:after="0" w:line="240" w:lineRule="atLeast"/>
        <w:ind w:firstLine="36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Разновидности ламп освещения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 xml:space="preserve">Потребительский рынок предлагает сегодня лампы освещения различной стоимости. При этом их потребительские и технологические свойства также существенно </w:t>
      </w:r>
      <w:r>
        <w:rPr>
          <w:rFonts w:ascii="Times New Roman" w:hAnsi="Times New Roman"/>
          <w:sz w:val="26"/>
          <w:szCs w:val="26"/>
        </w:rPr>
        <w:t>отличаются друг от друга.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лампы накаливания;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люминесцентные лампы;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галогенные лампы;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светодиодные светильники.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Рассмотрим каждый из видов на предмет выявления основных потребительских и технологических особенностей.</w:t>
      </w: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Лампы накаливания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Довольно длите</w:t>
      </w:r>
      <w:r>
        <w:rPr>
          <w:rFonts w:ascii="Times New Roman" w:hAnsi="Times New Roman"/>
          <w:sz w:val="26"/>
          <w:szCs w:val="26"/>
        </w:rPr>
        <w:t>льное время лампы накаливания абсолютно не имели конкуренции на рынке. Форма лампочек накаливания может быть различной, как и их мощность, минимальная мощность равна 15 Вт, а максимальная – 300 Вт.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Современные лампы накаливания представлены двумя разновидн</w:t>
      </w:r>
      <w:r>
        <w:rPr>
          <w:rFonts w:ascii="Times New Roman" w:hAnsi="Times New Roman"/>
          <w:sz w:val="26"/>
          <w:szCs w:val="26"/>
        </w:rPr>
        <w:t xml:space="preserve">остями: криптоновые и </w:t>
      </w:r>
      <w:proofErr w:type="spellStart"/>
      <w:r>
        <w:rPr>
          <w:rFonts w:ascii="Times New Roman" w:hAnsi="Times New Roman"/>
          <w:sz w:val="26"/>
          <w:szCs w:val="26"/>
        </w:rPr>
        <w:t>биспиральные</w:t>
      </w:r>
      <w:proofErr w:type="spellEnd"/>
      <w:r>
        <w:rPr>
          <w:rFonts w:ascii="Times New Roman" w:hAnsi="Times New Roman"/>
          <w:sz w:val="26"/>
          <w:szCs w:val="26"/>
        </w:rPr>
        <w:t>. В криптоновых лампах накаливания используется инертный газ криптон. Их мощность колеблется от 40 до 100 Вт. При этом криптоновые лампочки в отличие от обычных обладают большей светоотдачей.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Повышенной светоотдачей облада</w:t>
      </w:r>
      <w:r>
        <w:rPr>
          <w:rFonts w:ascii="Times New Roman" w:hAnsi="Times New Roman"/>
          <w:sz w:val="26"/>
          <w:szCs w:val="26"/>
        </w:rPr>
        <w:t xml:space="preserve">ют и </w:t>
      </w:r>
      <w:proofErr w:type="spellStart"/>
      <w:r>
        <w:rPr>
          <w:rFonts w:ascii="Times New Roman" w:hAnsi="Times New Roman"/>
          <w:sz w:val="26"/>
          <w:szCs w:val="26"/>
        </w:rPr>
        <w:t>биспиральные</w:t>
      </w:r>
      <w:proofErr w:type="spellEnd"/>
      <w:r>
        <w:rPr>
          <w:rFonts w:ascii="Times New Roman" w:hAnsi="Times New Roman"/>
          <w:sz w:val="26"/>
          <w:szCs w:val="26"/>
        </w:rPr>
        <w:t xml:space="preserve"> лампы, дающие свет за счет сложной дугообразной вольфрамовой нити. Поверхность ламп накаливания может быть прозрачной, опаловой или зеркальной.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lastRenderedPageBreak/>
        <w:t>Несмотря на то, что световой поток матированных ламп меньше (при незначительной матировке - на</w:t>
      </w:r>
      <w:r>
        <w:rPr>
          <w:rFonts w:ascii="Times New Roman" w:hAnsi="Times New Roman"/>
          <w:sz w:val="26"/>
          <w:szCs w:val="26"/>
        </w:rPr>
        <w:t xml:space="preserve"> 3%, у молочных – на 30%), они пользуются популярностью, и главным образом из-за более рассеянного света, который приятен для зрительного восприятия. Световой поток светильников, покрытых зеркальным слоем, достаточно велик.</w:t>
      </w: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Люминесцентные лампы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Широкое рас</w:t>
      </w:r>
      <w:r>
        <w:rPr>
          <w:rFonts w:ascii="Times New Roman" w:hAnsi="Times New Roman"/>
          <w:sz w:val="26"/>
          <w:szCs w:val="26"/>
        </w:rPr>
        <w:t>пространение в последнее время получили люминесцентные лампы различной мощности (от 8 до 80 Вт). Их свечение происходит за счет люминофоров, на которые действует ультрафиолетовое излучение газового разряда. Лампы данного вида дают мягкий, рассеянный свет.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По сравнению с лампами накаливания, экономичность люминесцентных ламп намного выше, а световой поток при одинаковой мощности больше в 7-8 раз. Большая разница наблюдается и в сроке службы.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Люминесцентные лампы освещения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У люминесцентных ламп он дольше в 1</w:t>
      </w:r>
      <w:r>
        <w:rPr>
          <w:rFonts w:ascii="Times New Roman" w:hAnsi="Times New Roman"/>
          <w:sz w:val="26"/>
          <w:szCs w:val="26"/>
        </w:rPr>
        <w:t>0-20 раз, чем у ламп накаливания. Недостатком люминесцентных ламп является чувствительность к температуре и мерцание света.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Галогенные лампы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Лампы данного вида почти на 100% ярче обычных лампочек накаливания. Они имеют разную форму и виды, в зависимости о</w:t>
      </w:r>
      <w:r>
        <w:rPr>
          <w:rFonts w:ascii="Times New Roman" w:hAnsi="Times New Roman"/>
          <w:sz w:val="26"/>
          <w:szCs w:val="26"/>
        </w:rPr>
        <w:t>т этого свет может быть рассеянным или представлять концентрированный пучок.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Благодаря такому разнообразию галогенные лампы освещения, дающие насыщенные красивые оттенки, довольно часто применяются в дизайнерских решениях. Использование их яркого света и в</w:t>
      </w:r>
      <w:r>
        <w:rPr>
          <w:rFonts w:ascii="Times New Roman" w:hAnsi="Times New Roman"/>
          <w:sz w:val="26"/>
          <w:szCs w:val="26"/>
        </w:rPr>
        <w:t>еликолепной цветопередачи позволяет легко экспериментировать с освещением, создавая неповторимые эффекты.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Галогенный свет применяется как для общего освещения, так и для детальной подсветки и выделения определенных участков жилого пространства.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Разнообраз</w:t>
      </w:r>
      <w:r>
        <w:rPr>
          <w:rFonts w:ascii="Times New Roman" w:hAnsi="Times New Roman"/>
          <w:b/>
          <w:sz w:val="26"/>
          <w:szCs w:val="26"/>
        </w:rPr>
        <w:t>ие галогенных светильников подразделяется на: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подвесные;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точечные (встраиваемые в подвесной потолок);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настенные;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встраиваемые в мебель, стены;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поворотные (направление света регулируется поворотом держателя лампы);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- фиксированные модели.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Галогенные лампы освещения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Особое внимание современные дизайнеры уделяют точечным светильникам «под хрусталь» (стеклянные цепочки кристаллов подвешиваются на металлическую конструкцию) и светильникам «звездное небо» (совокупность миниатюрных ламп напомина</w:t>
      </w:r>
      <w:r>
        <w:rPr>
          <w:rFonts w:ascii="Times New Roman" w:hAnsi="Times New Roman"/>
          <w:sz w:val="26"/>
          <w:szCs w:val="26"/>
        </w:rPr>
        <w:t>ет скопление звезд), которые великолепно преображают помещение, внося в его оформление неповторимые акценты.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p w:rsidR="00FD12AF" w:rsidRDefault="00CE1110">
      <w:pPr>
        <w:spacing w:after="0"/>
        <w:rPr>
          <w:b/>
          <w:sz w:val="20"/>
        </w:rPr>
      </w:pPr>
      <w:r>
        <w:rPr>
          <w:rFonts w:ascii="Times New Roman" w:hAnsi="Times New Roman"/>
          <w:b/>
          <w:sz w:val="26"/>
          <w:szCs w:val="26"/>
        </w:rPr>
        <w:t>Светодиодные лампы освещения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lastRenderedPageBreak/>
        <w:t>На сегодняшний день светильники, использующие светодиоды, также получили широкое распространение. Их ключевой особенн</w:t>
      </w:r>
      <w:r>
        <w:rPr>
          <w:rFonts w:ascii="Times New Roman" w:hAnsi="Times New Roman"/>
          <w:sz w:val="26"/>
          <w:szCs w:val="26"/>
        </w:rPr>
        <w:t>остью является низкое энергопотребление, что, безусловно, придется по душе каждому хозяину.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К достоинствам светодиодных светильников можно также отнести высокую светоотдачу и большой срок службы. В последнее время российский рынок пополнился еще и автономн</w:t>
      </w:r>
      <w:r>
        <w:rPr>
          <w:rFonts w:ascii="Times New Roman" w:hAnsi="Times New Roman"/>
          <w:sz w:val="26"/>
          <w:szCs w:val="26"/>
        </w:rPr>
        <w:t>ыми светильниками на светодиодах, работающих на солнечных батареях и аккумуляторах.</w:t>
      </w:r>
    </w:p>
    <w:p w:rsidR="00FD12AF" w:rsidRDefault="00CE1110">
      <w:pPr>
        <w:spacing w:after="0"/>
        <w:rPr>
          <w:sz w:val="20"/>
        </w:rPr>
      </w:pPr>
      <w:r>
        <w:rPr>
          <w:rFonts w:ascii="Times New Roman" w:hAnsi="Times New Roman"/>
          <w:sz w:val="26"/>
          <w:szCs w:val="26"/>
        </w:rPr>
        <w:t>Включение таких светильников происх</w:t>
      </w:r>
      <w:bookmarkStart w:id="1" w:name="__UnoMark__130_668262493"/>
      <w:bookmarkEnd w:id="1"/>
      <w:r>
        <w:rPr>
          <w:rFonts w:ascii="Times New Roman" w:hAnsi="Times New Roman"/>
          <w:sz w:val="26"/>
          <w:szCs w:val="26"/>
        </w:rPr>
        <w:t>одит автоматически с наступлением темноты, а подзаряжаются они от солнечного света в продолжение всего светового дня. Эти светильники мог</w:t>
      </w:r>
      <w:r>
        <w:rPr>
          <w:rFonts w:ascii="Times New Roman" w:hAnsi="Times New Roman"/>
          <w:sz w:val="26"/>
          <w:szCs w:val="26"/>
        </w:rPr>
        <w:t>ут подвергаться как низким (до -30), так и высоким (до +50) температурам без нарушения работоспособности.</w:t>
      </w:r>
    </w:p>
    <w:p w:rsidR="00FD12AF" w:rsidRDefault="00FD12AF">
      <w:pPr>
        <w:spacing w:after="0"/>
        <w:rPr>
          <w:rFonts w:ascii="Times New Roman" w:hAnsi="Times New Roman"/>
          <w:sz w:val="26"/>
          <w:szCs w:val="26"/>
        </w:rPr>
      </w:pPr>
    </w:p>
    <w:sectPr w:rsidR="00FD12AF">
      <w:pgSz w:w="11906" w:h="16838"/>
      <w:pgMar w:top="1134" w:right="596" w:bottom="1134" w:left="6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AF"/>
    <w:rsid w:val="00CE1110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C699E-220C-484A-87D3-AB1C58C3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30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2016-09-10T08:50:00Z</cp:lastPrinted>
  <dcterms:created xsi:type="dcterms:W3CDTF">2022-10-19T06:28:00Z</dcterms:created>
  <dcterms:modified xsi:type="dcterms:W3CDTF">2022-10-19T06:28:00Z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