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pStyle w:val="Heading1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работе участкового врача-фтизиатра ГУЗ НО "Противотуберкулезный диспансер Канавинского района" г. Нижнего Новгорода</w:t>
      </w: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Н. Новгород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Я, Кабанова София Павловна, закончила институт в _____году. Работаю участковым фтизиатром с</w:t>
      </w:r>
      <w:r>
        <w:rPr>
          <w:sz w:val="28"/>
          <w:szCs w:val="28"/>
        </w:rPr>
        <w:t xml:space="preserve"> 1 июля 1981г. по настоящее время. В должности заведующей диспансерным отделением работала с 1995 г. по 1998 г., с апреля 1998 г. вновь перешла на работу участковым фтизиатром.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6 июля 1981г. по 6 ноября 1981 г. прошла первичную специализацию на базе Обла</w:t>
      </w:r>
      <w:r>
        <w:rPr>
          <w:sz w:val="28"/>
          <w:szCs w:val="28"/>
        </w:rPr>
        <w:t>стного противотуберкулезного диспансера по специальности "Фтизиатрия".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28 августа 1985г. по 26 октября 1985г. прошла цикл усовершенствования "Клиническая пульмонология" в Ленинградском ГИДУВе.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26 марта 1990г. по 27 июня 1990г. проходила цикл усовершенс</w:t>
      </w:r>
      <w:r>
        <w:rPr>
          <w:sz w:val="28"/>
          <w:szCs w:val="28"/>
        </w:rPr>
        <w:t>твования по специальности "Фтизиатрия" в Ленинградском ГИДУВе.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1995 г. прошла цикл усовершенствования "Основы диагностики и терапии во фтизиопульмонологии" в Московской медицинской академии имени И. М. Сеченова.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22 марта 2000г. по 18 мая 2000 г. проход</w:t>
      </w:r>
      <w:r>
        <w:rPr>
          <w:sz w:val="28"/>
          <w:szCs w:val="28"/>
        </w:rPr>
        <w:t>ила цикл усовершенствования по специальности "Фтизиатрия" в ГОУ ВПО НижГМА Росздрава.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21 ноября 2005г. по 16 декабря 2005 г. проходила цикл усовершенствования по специальности "Фтизиатрия" в ГОУ ВПО НижГМА Росздрава.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2007 г. прошла курс обучения "Орган</w:t>
      </w:r>
      <w:r>
        <w:rPr>
          <w:sz w:val="28"/>
          <w:szCs w:val="28"/>
        </w:rPr>
        <w:t>изация противотуберкулезной помощи на муниципальном уровне" в ГУ ЦНИИТ РАМН г Москва.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22 ноября 2010г. по 17декабря 2010г. прошла цикл усовершенствования в ГОУ ВПО НижГМА Росздрава по специальности "Фтизиатрия".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смежных специальностей</w:t>
      </w:r>
    </w:p>
    <w:p w:rsidR="00000000" w:rsidRDefault="00257D0A">
      <w:pPr>
        <w:tabs>
          <w:tab w:val="left" w:pos="3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 чте</w:t>
      </w:r>
      <w:r>
        <w:rPr>
          <w:sz w:val="28"/>
          <w:szCs w:val="28"/>
        </w:rPr>
        <w:t>нием рентгено-флюорографической документации органов грудной клетки, вопросами экспертизы временной нетрудоспособности.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 методикой лимфотропного введения лекарств, основами фитотерапии.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 клиническими лабораторными методами исследования крови, м</w:t>
      </w:r>
      <w:r>
        <w:rPr>
          <w:sz w:val="28"/>
          <w:szCs w:val="28"/>
        </w:rPr>
        <w:t>очи, мокроты, экссудатов и транссудатов; микроскроскопической диагностикой мокроты.</w:t>
      </w:r>
    </w:p>
    <w:p w:rsidR="00000000" w:rsidRDefault="00257D0A">
      <w:pPr>
        <w:pStyle w:val="Heading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участка обслуживания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работаю участковым фтизиатром с 1981 года. Мой участок с численностью населения 24 080 человек, находится в Канавинском районе г. Н. Н</w:t>
      </w:r>
      <w:r>
        <w:rPr>
          <w:sz w:val="28"/>
          <w:szCs w:val="28"/>
        </w:rPr>
        <w:t>овгорода. Участок не компактный, расположен рядом с Центральным промышленно-продуктовым рынком, 80% домов считается ветхим фондом, подлежит сносу. Частный сектор не обустроенный, и такое жилье сдается внаем социально не адаптированным лицам. В связи с пост</w:t>
      </w:r>
      <w:r>
        <w:rPr>
          <w:sz w:val="28"/>
          <w:szCs w:val="28"/>
        </w:rPr>
        <w:t>оянной миграцией населения ухудшился социальный состав - преобладают лица, без определенного места жительства, неработающие трудоспособного возраста, ведущие асоциальный образ жизни, наркоманы, алкоголики, больные ВИЧ-инфекцией. Вследствие этого, из-за низ</w:t>
      </w:r>
      <w:r>
        <w:rPr>
          <w:sz w:val="28"/>
          <w:szCs w:val="28"/>
        </w:rPr>
        <w:t>кой сознательности, население участка с трудом привлекается к профилактическому флюорографическому обследованию, к лечению туберкулеза, обучению санитарно-гигиеническим навыкам.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участка находится городская инфекционная больница № 9 на 120 кое</w:t>
      </w:r>
      <w:r>
        <w:rPr>
          <w:sz w:val="28"/>
          <w:szCs w:val="28"/>
        </w:rPr>
        <w:t>к, имеющая 5 отделений различного профиля и МЛПУ ГКБ № 10 (поликлиника на 500 посещений в день и стационар на 300 коек со следующими отделениями: 3 терапевтических, неврологическое, пульмонологическое, и паталогоанатомическое). Стационар имеет рентгеновски</w:t>
      </w:r>
      <w:r>
        <w:rPr>
          <w:sz w:val="28"/>
          <w:szCs w:val="28"/>
        </w:rPr>
        <w:t>й, физиотерапевтический и ЭКГ и УЗИ кабинеты, клинико-биохимическую лабораторию. Поликлиническое отделение МЛПУ ГКБ № 10 своего флюорографического аппарата не имеет. Население обследуется профилактически флюорографически в ГУЗ НО "Противотуберкулезный дисп</w:t>
      </w:r>
      <w:r>
        <w:rPr>
          <w:sz w:val="28"/>
          <w:szCs w:val="28"/>
        </w:rPr>
        <w:t>ансер Канавинского района".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Лечебно-профилактическая работа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статистических показателей среди впервые выявленных больных туберкулезом.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Таб.№1 (абсолютное число / показатель) Эпидемиологические показатели за 3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879"/>
        <w:gridCol w:w="719"/>
        <w:gridCol w:w="971"/>
        <w:gridCol w:w="719"/>
        <w:gridCol w:w="1013"/>
        <w:gridCol w:w="7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заболеваемость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 74,7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87,2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/ 87,2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 бациллярным туберкулезом на 100 тыс. населения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46 29,4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52 33,1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заболеваемость деструктивным туберкулезом </w:t>
            </w: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27 17,2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46 29,3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 ТВЛ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</w:tr>
    </w:tbl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Таб.№2 Наличие распада и бактериовыделения у впервые выявленных больных туберкулёзом органов дыхания ( ТОД)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Впервые выявленные больные с ак</w:t>
            </w:r>
            <w:r>
              <w:rPr>
                <w:sz w:val="20"/>
                <w:szCs w:val="20"/>
              </w:rPr>
              <w:t>тивной формой туберкулеза органов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МБТ(+)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8- 44,4%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12 - 57,1%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12 - 57,1%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полостями распада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5 -27,7%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10 - 47,6%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10 - 47,6%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МБТ: </w:t>
            </w:r>
            <w:r>
              <w:rPr>
                <w:sz w:val="20"/>
                <w:szCs w:val="20"/>
                <w:lang w:val="en-US"/>
              </w:rPr>
              <w:t>CV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1,2</w:t>
            </w:r>
          </w:p>
        </w:tc>
      </w:tr>
    </w:tbl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тенденция к увеличению доли бактериовыделителей </w:t>
      </w:r>
      <w:r>
        <w:rPr>
          <w:sz w:val="28"/>
          <w:szCs w:val="28"/>
        </w:rPr>
        <w:t>и больных с деструктивными формами ТОД в структуре впервые выявленных больных. Это является следствием: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недовыявления больных в ЛПУ ОЛС в 2008-2009гг, обусловленного трудностями привлечения населения к профилактическому обследованию за счёт крайне неблагоп</w:t>
      </w:r>
      <w:r>
        <w:rPr>
          <w:sz w:val="28"/>
          <w:szCs w:val="28"/>
        </w:rPr>
        <w:t>олучного социального состава населения участка: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скрытого резервуара туберкулёзной инфекции у проживающих в районе центрального рынка нелегальных мигрантов и лиц без определённого места жительства.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Своевременность выявления туберкулеза органов дыха</w:t>
      </w:r>
      <w:r>
        <w:rPr>
          <w:sz w:val="28"/>
          <w:szCs w:val="28"/>
        </w:rPr>
        <w:t>нияТаб.№3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879"/>
        <w:gridCol w:w="733"/>
        <w:gridCol w:w="879"/>
        <w:gridCol w:w="733"/>
        <w:gridCol w:w="879"/>
        <w:gridCol w:w="7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 выявлено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13 72,2%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59 66,5%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13 61,0%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64 58,2%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14 66,6%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47 66,5%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Несвоевременно выявлено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1 5,5%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16 20,0%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6 28,5%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25 22,7%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5 23,8%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15 21,7%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запущенные случаи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4 22,2%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11 13,7%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2 9,5%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25 33,3%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2 9,5%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7 10,1%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по причинам, указанным выше, в 2008г.- в 2009г. увеличилась доля больных с несвоевременно выявленными формами туберкулеза на 44%.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случаи выявления запущенных и несвоевременно выявленных форм ТОД</w:t>
      </w:r>
      <w:r>
        <w:rPr>
          <w:sz w:val="28"/>
          <w:szCs w:val="28"/>
        </w:rPr>
        <w:t xml:space="preserve"> разбирались на врачебных конференциях в ЛПУ.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выявленные больные по социальному составуТаб.№4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1000"/>
        <w:gridCol w:w="1100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7 - 38,8%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6 - 28,5%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5 - 31,2%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служащие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4 - 22,2%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3 - 14,2%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3 - 18,7%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2 - 11,1%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2 - 12,5%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неработающие трудоспособного возраста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6 - 33,3%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11 - 52,2%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11 - 52,2%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рост доли больных - неработающих трудоспособного возраста, от общего числа впервые выявленных больных, что связано с общей экономической ситуацией в стране и н</w:t>
      </w:r>
      <w:r>
        <w:rPr>
          <w:sz w:val="28"/>
          <w:szCs w:val="28"/>
        </w:rPr>
        <w:t>еблагополучным социальном составом лиц, проживающих на участке.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выявленные больные по полу и возрасту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вновь выявленных заболели туберкулезом: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 - 57,6% (34 чел.);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 - 42,3% (25чел.).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Таб.№5. Впервые выявленные больные по методу выявл</w:t>
      </w:r>
      <w:r>
        <w:rPr>
          <w:sz w:val="28"/>
          <w:szCs w:val="28"/>
        </w:rPr>
        <w:t>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100"/>
        <w:gridCol w:w="1100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профосмотре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13 - 83,3%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13 - 61,9%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14 - 66,6%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обращении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5 - 27,7%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8 - 38,1%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7 - 33,4%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2010г. в сравнении с 2008г. при профосмотре выявлено больных туберкулезом на 20,8% больше в связи с увеличением охвата профилактическим</w:t>
      </w:r>
      <w:r>
        <w:rPr>
          <w:sz w:val="28"/>
          <w:szCs w:val="28"/>
        </w:rPr>
        <w:t xml:space="preserve"> флюорографическим осмотром группы "риска" на туберкулез и увеличением самой группы риска.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Таб.№6. Структура первичной заболеваемости туберкулезом органов дыхания по клиническим формам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1000"/>
        <w:gridCol w:w="1150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 органов дыхания: плеврит туберкулез бронхо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2 - 11,1% 1 - 5,5%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 --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 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 легких: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очаговый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3 - 16,6%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4 - 19,0%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4 - 19,0%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инфильтративный в т.ч. в фазе распада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5 - 27,7%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- 5,5%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14 - 66,6% 7- 33,3%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- 60,0% 2- 10,0%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диссеминированный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5 - 27,7%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- 9,5%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5 - 25,0%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фиброзно-каверн</w:t>
            </w:r>
            <w:r>
              <w:rPr>
                <w:sz w:val="20"/>
                <w:szCs w:val="20"/>
              </w:rPr>
              <w:t>озный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1 - 4,7%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туберкулома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1 - 4,7%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структуре форм ТОД у впервые выявленных больных преобладают инфильтративный туберкулёз - 52,6% (31 чел.). Выявлен 1 случай туберкулеза бронхов с МБТ выделением в 2008г. и случай фибро</w:t>
      </w:r>
      <w:r>
        <w:rPr>
          <w:sz w:val="28"/>
          <w:szCs w:val="28"/>
        </w:rPr>
        <w:t>зно-кавернозного туберкулеза в 2009г.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Отмечена общая тенденция роста несвоевременных и запущенных форм туберкулеза среди впервые выявленных больных из скрытых очагов инфекций (недовыявление в предыдущие годы).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статистических показателей в контингент</w:t>
      </w:r>
      <w:r>
        <w:rPr>
          <w:sz w:val="28"/>
          <w:szCs w:val="28"/>
        </w:rPr>
        <w:t>ах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Эпидемиологические показатели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Болезненность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Таб.№7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879"/>
        <w:gridCol w:w="719"/>
        <w:gridCol w:w="879"/>
        <w:gridCol w:w="719"/>
        <w:gridCol w:w="879"/>
        <w:gridCol w:w="7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Болезненность общая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56 232,5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316 201,7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56 232,5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280 178,5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58 240,8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254 162,5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Болезненность деструктивным туберкулезом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9 37,3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11 45,6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Болезненность бациллярным туберкулезом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157 100,2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16 66,4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134 85,7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Болезненность фиброзно-кавернозным туберкулезом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34 21,7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30 19,1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25 15,9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г. отмечается увеличен</w:t>
      </w:r>
      <w:r>
        <w:rPr>
          <w:sz w:val="28"/>
          <w:szCs w:val="28"/>
        </w:rPr>
        <w:t>ие показателя общей болезненности на 11% за счет роста заболеваемости на участке и низкой эффективности лечения, обусловленной: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наличием лекарственной устойчивости МБТ к противотуберкулёзным препаратам у больных;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трудностями в привлечении к контролируемому</w:t>
      </w:r>
      <w:r>
        <w:rPr>
          <w:sz w:val="28"/>
          <w:szCs w:val="28"/>
        </w:rPr>
        <w:t xml:space="preserve"> лечению социально неблагополучных больных,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больные, оторвавшиеся от лечения, активно привлекаются к продолжению лечения, в том числе, при участии прокуратуры. За указанный период мною была инициирована подача заявлений в прокуратуру на десятерых больн</w:t>
      </w:r>
      <w:r>
        <w:rPr>
          <w:sz w:val="28"/>
          <w:szCs w:val="28"/>
        </w:rPr>
        <w:t>ых, туберкулёзом, уклоняющихся от обследования и лечения: 1 больной был привлечён в досудебном порядке, по 9 -ти - состоялись заседания суда с положительным решением, 5 больных госпитализировались по решению суда в стационар противотуберкулёзного диспансер</w:t>
      </w:r>
      <w:r>
        <w:rPr>
          <w:sz w:val="28"/>
          <w:szCs w:val="28"/>
        </w:rPr>
        <w:t xml:space="preserve">а. 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Лекарственная устойчивость в контингентах больных за отчетный период: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устойчивостью МБТ всего - 14 чел. - 25,9% (54 бактериовыделителя - всего)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МЛУ - 7 - 12,9% ( в т.ч. с ШЛУ-2 - 3,7 %)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полирезистентностью - 5 - 9,2%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монорезистентностью - 2 - 3</w:t>
      </w:r>
      <w:r>
        <w:rPr>
          <w:sz w:val="28"/>
          <w:szCs w:val="28"/>
        </w:rPr>
        <w:t>,7%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Контингенты больных в сочетании с ВИЧ-инфекцией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 </w:t>
      </w:r>
      <w:r>
        <w:rPr>
          <w:sz w:val="28"/>
          <w:szCs w:val="28"/>
        </w:rPr>
        <w:t>МБТ</w:t>
      </w:r>
      <w:r>
        <w:rPr>
          <w:sz w:val="28"/>
          <w:szCs w:val="28"/>
          <w:lang w:val="en-US"/>
        </w:rPr>
        <w:t>(+) - 2 - 33,3 %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МБТ</w:t>
      </w:r>
      <w:r>
        <w:rPr>
          <w:sz w:val="28"/>
          <w:szCs w:val="28"/>
          <w:lang w:val="en-US"/>
        </w:rPr>
        <w:t xml:space="preserve">(-) - 3 - 50,0 %A </w:t>
      </w:r>
      <w:r>
        <w:rPr>
          <w:sz w:val="28"/>
          <w:szCs w:val="28"/>
        </w:rPr>
        <w:t>МБТ</w:t>
      </w:r>
      <w:r>
        <w:rPr>
          <w:sz w:val="28"/>
          <w:szCs w:val="28"/>
          <w:lang w:val="en-US"/>
        </w:rPr>
        <w:t xml:space="preserve"> (+) - 1 - 16,6 %</w:t>
      </w:r>
    </w:p>
    <w:p w:rsidR="00000000" w:rsidRDefault="00257D0A">
      <w:pPr>
        <w:tabs>
          <w:tab w:val="left" w:pos="900"/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от туберкулёза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умерших от активного туберкулеза за 2008 - 2009 - 2010 Таб.№8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049"/>
        <w:gridCol w:w="546"/>
        <w:gridCol w:w="1049"/>
        <w:gridCol w:w="546"/>
        <w:gridCol w:w="766"/>
        <w:gridCol w:w="546"/>
        <w:gridCol w:w="872"/>
        <w:gridCol w:w="546"/>
        <w:gridCol w:w="782"/>
        <w:gridCol w:w="546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2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2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тыс. нас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</w:tbl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от туберкулеза в 2010 г. в сравнении с 2009, </w:t>
      </w:r>
      <w:r>
        <w:rPr>
          <w:sz w:val="28"/>
          <w:szCs w:val="28"/>
        </w:rPr>
        <w:t xml:space="preserve">выросла в 2 раза и составила 8,3 на 100 тыс. населения (см. таблицу). В 2009-2010 г. умерло от туберкулеза 3 больных, в т.ч. мужчин - 2; женщин - 1. По возрасту: 30 - 39 лет - 2 чел.; 50 - 55 лет - 1 чел. Длительность заболевания: до 1 года - 2 чел.; от 1 </w:t>
      </w:r>
      <w:r>
        <w:rPr>
          <w:sz w:val="28"/>
          <w:szCs w:val="28"/>
        </w:rPr>
        <w:t>года до 5 лет - 1 чел.;</w:t>
      </w:r>
    </w:p>
    <w:p w:rsidR="00000000" w:rsidRDefault="00257D0A">
      <w:pPr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смерти:</w:t>
      </w:r>
    </w:p>
    <w:p w:rsidR="00000000" w:rsidRDefault="00257D0A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Особенности течения из-за сопутствующего тяжелого заболевания - 2 чел. (МЛУ + ВИЧ-инфекция);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Прогрессирование туберкулезного процесса - 1 чел.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Лечебно-диагностическая работа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Лечебно-диагностическая работа врача</w:t>
      </w:r>
      <w:r>
        <w:rPr>
          <w:sz w:val="28"/>
          <w:szCs w:val="28"/>
        </w:rPr>
        <w:t>-фтизиатра в отделении складывается из следующих основных компонентов: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диагностики туберкулеза у больных, направляемых из ЛПУ ОЛС, расположенных в районе участка;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больных с неясным диагнозом в стационарах ЛПУ ОЛС, расположенных в районе участк</w:t>
      </w:r>
      <w:r>
        <w:rPr>
          <w:sz w:val="28"/>
          <w:szCs w:val="28"/>
        </w:rPr>
        <w:t>а;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комплексного обследования, лечения больным с впервые выявленным туберкулезом;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диспансерное наблюдение контингентов противотуберкулезного диспансера;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медицинской профилактике.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врача-фтизиатра является организация и п</w:t>
      </w:r>
      <w:r>
        <w:rPr>
          <w:sz w:val="28"/>
          <w:szCs w:val="28"/>
        </w:rPr>
        <w:t>роведение в полном объеме противотуберкулезных мероприятий, направленных на максимальное снижение эпидемиологических показателей на участке.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заболевания, оценку состояния больного и клинической ситуации провожу в соответствии со стандартами ока</w:t>
      </w:r>
      <w:r>
        <w:rPr>
          <w:sz w:val="28"/>
          <w:szCs w:val="28"/>
        </w:rPr>
        <w:t>зания медицинской помощи по фтизиатрии.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больных на врачебную комиссию, где подтверждается диагноз вновь выявленным больным, больным с рецидивами, неясными диагнозами, определяется тактика лечения, необходимость консультации в других медицинских</w:t>
      </w:r>
      <w:r>
        <w:rPr>
          <w:sz w:val="28"/>
          <w:szCs w:val="28"/>
        </w:rPr>
        <w:t xml:space="preserve"> учреждениях.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больных туберкулезом органов дыхания провожу контролируемо в соответствии со стандартом. Направляю на госпитализацию больных с деструктивными формами туберкулёза и бактериовыделителей.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госпитализировано впервые выяв</w:t>
      </w:r>
      <w:r>
        <w:rPr>
          <w:sz w:val="28"/>
          <w:szCs w:val="28"/>
        </w:rPr>
        <w:t>ленных больных: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Показана госпитализация - 33 чел., госпитализированы - 31 чел. (93,9%)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показатель госпитализации впервые выявленных больных связан с моей эффективной работой с больными в данном направлении.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госпитализацией контингентов в 2010</w:t>
      </w:r>
      <w:r>
        <w:rPr>
          <w:sz w:val="28"/>
          <w:szCs w:val="28"/>
        </w:rPr>
        <w:t xml:space="preserve"> году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Показана госпитализация - 55 чел., госпитализированы - 42 чел. (76,3%)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направляю на консультацию к торакальному хирургу противотуберкулезного диспансера. За отчетный период проконсультированы - 35 чел., прооперированы - 7 чел.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Опер</w:t>
      </w:r>
      <w:r>
        <w:rPr>
          <w:sz w:val="28"/>
          <w:szCs w:val="28"/>
        </w:rPr>
        <w:t>ированы в 2010 г. Таб.№9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568"/>
        <w:gridCol w:w="991"/>
        <w:gridCol w:w="2544"/>
        <w:gridCol w:w="14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оперированных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группам д/учета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операции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оперировался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легочные больные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МБТ - 2 МБТ + 5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Атипичная резекция-5 чел Резекция- 2 чел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ОПД АПД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внелегочные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Больных, отказавшихся от госпитализации по уважи</w:t>
      </w:r>
      <w:r>
        <w:rPr>
          <w:sz w:val="28"/>
          <w:szCs w:val="28"/>
        </w:rPr>
        <w:t>тельной причине, контролируемо лечу в дневном стационаре диспансера и процедурном кабинете согласно стандарту. Больных с "малыми" формами туберкулеза направляю на лечение в туберкулезные санатории: "Плес", "Старая пустынь". Показано лечение - 16 чел., лечи</w:t>
      </w:r>
      <w:r>
        <w:rPr>
          <w:sz w:val="28"/>
          <w:szCs w:val="28"/>
        </w:rPr>
        <w:t xml:space="preserve">лось в санатории - 10 чел. (60%); 6 больных отказалось по семейным обстоятельствам, но продолжали контролируемое лечение в процедурном кабинете диспансера. Провожу динамическое наблюдение за состоянием здоровья больных туберкулезом и контактирующих с ними </w:t>
      </w:r>
      <w:r>
        <w:rPr>
          <w:sz w:val="28"/>
          <w:szCs w:val="28"/>
        </w:rPr>
        <w:t>лиц, состоящих на учете. В диспансер направляют на консультацию из ЛПУ ОЛС больных с изменениями в легких, подозрительными на туберкулез. Мною проконсультированы на приёме - 20 чел., из них туберкулез выявлен у 5 чел, проконсультировано больных в стационар</w:t>
      </w:r>
      <w:r>
        <w:rPr>
          <w:sz w:val="28"/>
          <w:szCs w:val="28"/>
        </w:rPr>
        <w:t>ах - 130 чел. с подозрением на туберкулез органов дыхания и выявлено 45 чел. с различными клиническими формами туберкулеза. Для дальнейшего специфического лечения такие больные переводятся в стационары Автозаводского или Сормовского противотуберкулезных ди</w:t>
      </w:r>
      <w:r>
        <w:rPr>
          <w:sz w:val="28"/>
          <w:szCs w:val="28"/>
        </w:rPr>
        <w:t>спансеров. Согласно нормативным документам осуществляю перевод амбулаторных больных из группы в группы, а так же снятие больных с диспансерного учета для последующего наблюдения в территориальной поликлинике. Провожу экспертизу временной нетрудоспособности</w:t>
      </w:r>
      <w:r>
        <w:rPr>
          <w:sz w:val="28"/>
          <w:szCs w:val="28"/>
        </w:rPr>
        <w:t xml:space="preserve"> работающих больных. Совместно с председателем ВК решаю вопрос о продлении временной нетрудоспособности в установленные сроки, восстановлении трудоспособности, необходимости направления в БМСЭ.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Эффективность лечения впервые выявленных больных за 2008- 201</w:t>
      </w:r>
      <w:r>
        <w:rPr>
          <w:sz w:val="28"/>
          <w:szCs w:val="28"/>
        </w:rPr>
        <w:t>0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1339"/>
        <w:gridCol w:w="1372"/>
        <w:gridCol w:w="11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2008 год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полостей распада: терапевтическим методом хирургическим методом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чел. - 60% 2  1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чел. - 100% 3 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чел. -75% 5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бактериовыделения из числа в/в больных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чел.- 62,5%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чел. - 70%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чел.- 75%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закрытия полостей распада и абациллирования увеличиваются из года в год, что отражает качество моей работы по лечению впервые выявленных больных.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Эффективность лечения контингентов за 2008- 2010 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100"/>
        <w:gridCol w:w="1100"/>
        <w:gridCol w:w="11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Абациллирование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12 - 66,6%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8 - 60,0%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16 - 80%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Закрытие полстей распада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8 - 44,4%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9 - 42,8%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9 - 45%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больных туберкулезом, переведенных 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гр. (клиническое излечение)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8 - 12,9%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10 - 20,2%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12 - 29,6%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клинического излечения больных увеличивается благ</w:t>
      </w:r>
      <w:r>
        <w:rPr>
          <w:sz w:val="28"/>
          <w:szCs w:val="28"/>
        </w:rPr>
        <w:t>одаря эффективному лечению, своевременному оперативному лечению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Рецидивы за 2008- 2010 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50"/>
        <w:gridCol w:w="950"/>
        <w:gridCol w:w="11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Рецидивы из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группы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Рецидивы из снятых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 МБТ(+) 1 с МБТ(-)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рецидивов - 2 чел.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сопутствующее заболевани</w:t>
      </w:r>
      <w:r>
        <w:rPr>
          <w:sz w:val="28"/>
          <w:szCs w:val="28"/>
        </w:rPr>
        <w:t>е (ВИЧ) - 1 чел.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прибывший из ИТУ - 1 чел.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Выход на инвалидность больных легочным туберкулезом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950"/>
        <w:gridCol w:w="950"/>
        <w:gridCol w:w="9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 год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впервые вышло на инвалидность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состоит на учете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Снята группа инвалидности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4 - 80 %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4 - 80 %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6 - 86 %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1 - 20 %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1- 20 %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1 - 14 %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выход на инвалидность менее 2х лет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заболевания до выхода на инвалидность: до 2 лет - 3чел (42,8%); от 3 - 5 лет - 1 чел (14,2%). Причина выхода: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туберкулезно</w:t>
      </w:r>
      <w:r>
        <w:rPr>
          <w:sz w:val="28"/>
          <w:szCs w:val="28"/>
        </w:rPr>
        <w:t>го процесса с сопутствующими заболеваниями - 3чел.;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профессии - 1 чел.</w:t>
      </w:r>
    </w:p>
    <w:p w:rsidR="00000000" w:rsidRDefault="00257D0A">
      <w:pPr>
        <w:tabs>
          <w:tab w:val="left" w:pos="17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выход на инвалидность на 10000 трудоспособного населения в 2009г. - 0,4, а в 2010 г. 1,2. Инвалидизация населения повышена в 2010г. за счет лиц, болевших распространенн</w:t>
      </w:r>
      <w:r>
        <w:rPr>
          <w:sz w:val="28"/>
          <w:szCs w:val="28"/>
        </w:rPr>
        <w:t>ыми процессами туберкулеза с тяжелыми сопутствующими заболеваниями.</w:t>
      </w:r>
    </w:p>
    <w:p w:rsidR="00000000" w:rsidRDefault="00257D0A">
      <w:pPr>
        <w:tabs>
          <w:tab w:val="left" w:pos="17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7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Анализ экспертизы временной нетрудоспособности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78"/>
        <w:gridCol w:w="1318"/>
        <w:gridCol w:w="878"/>
        <w:gridCol w:w="1248"/>
        <w:gridCol w:w="878"/>
        <w:gridCol w:w="13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2008г.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2009г.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2010г.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случаев всего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 продолжит. 1случая ВН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случаев всего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продолж 1 случая ВН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случаев всего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продолж</w:t>
            </w:r>
            <w:r>
              <w:rPr>
                <w:sz w:val="20"/>
                <w:szCs w:val="20"/>
              </w:rPr>
              <w:t>. 1 случая ВН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Ифильтративный туберкулез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Очаговый туберкулез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115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Диссеминированный туберкулез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Туберкулома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Плеврит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 бронхов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6 - 882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5 - 954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6-1042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173,6</w:t>
            </w:r>
          </w:p>
        </w:tc>
      </w:tr>
    </w:tbl>
    <w:p w:rsidR="00000000" w:rsidRDefault="00257D0A">
      <w:pPr>
        <w:tabs>
          <w:tab w:val="left" w:pos="17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 2010 г. отмечена тенденция уменьшения средней продолжительности лечения по листам нетрудоспособности на 9% вследствие повышения эффективности лечения.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</w:t>
      </w:r>
      <w:r>
        <w:rPr>
          <w:sz w:val="28"/>
          <w:szCs w:val="28"/>
        </w:rPr>
        <w:t>тивотуберкулезной работы врача-фтизиатра - уменьшение резервуара туберкулезной инфекции среди населения и повышение качества проводимых противотуберкулезных мероприятий.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в ЛПУ общей лечебной сети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эпидемиологом оказываю п</w:t>
      </w:r>
      <w:r>
        <w:rPr>
          <w:sz w:val="28"/>
          <w:szCs w:val="28"/>
        </w:rPr>
        <w:t>омощь администрации курируемой поликлиники по составлению плана комплексного профилактического осмотра населения. Контролирую выполнение плана, особенно обследование групп повышенного "риска" по туберкулёзу по данным картотечного учета населения. Регулярно</w:t>
      </w:r>
      <w:r>
        <w:rPr>
          <w:sz w:val="28"/>
          <w:szCs w:val="28"/>
        </w:rPr>
        <w:t xml:space="preserve"> проверяю выполнение клинического минимума врачами всех специальностей поликлиники и стационаров больницы № 9, № 10. Замечания и предложения отражаю в актах, результаты проверок сообщаю на конференции. Ежеквартально на врачебных конференциях в курируемых Л</w:t>
      </w:r>
      <w:r>
        <w:rPr>
          <w:sz w:val="28"/>
          <w:szCs w:val="28"/>
        </w:rPr>
        <w:t>ПУ ОЛС докладываю эпидемиологические показатели заболеваемости туберкулезом, обсуждаю причины выявления больных с несвоевременно выявленными и запущенными формами ТОД, демонстрирую рентгеновские снимки больных с запущенными и несвоевременно выявленными фор</w:t>
      </w:r>
      <w:r>
        <w:rPr>
          <w:sz w:val="28"/>
          <w:szCs w:val="28"/>
        </w:rPr>
        <w:t>мами туберкулеза.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Провожу семинары с врачами ЛПУ ОЛС по клиническим формам туберкулеза органов дыхания и внелегочного туберкулеза, их диагностике и своевременному выявлению. Обращаю внимание врачей всех специальностей на дальнейшее формирование групп "риск</w:t>
      </w:r>
      <w:r>
        <w:rPr>
          <w:sz w:val="28"/>
          <w:szCs w:val="28"/>
        </w:rPr>
        <w:t>а" по туберкулезу, и улучшению работы по их полноценному обследованию на туберкулез, особенно на выявление кислотоустойчивых микобактерий мокроты (КУМ) методом прямой бактериоскопии. Бактериоскопическое исследование мокроты на КУМ, особенно больным с кашле</w:t>
      </w:r>
      <w:r>
        <w:rPr>
          <w:sz w:val="28"/>
          <w:szCs w:val="28"/>
        </w:rPr>
        <w:t>м, имеет важное значение в ранней диагностике туберкулеза органов дыхания. За отчетный период сделано бактериоскопий мокроты в курируемых ЛПУ ОЛС: 2008г .- 850, 2009г. - 930, 2010 г. -952 анализа, КУМ - не обнаружены.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выявления туберку</w:t>
      </w:r>
      <w:r>
        <w:rPr>
          <w:sz w:val="28"/>
          <w:szCs w:val="28"/>
        </w:rPr>
        <w:t>леза при профилактических осмотрах в ЛПУ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18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проф.осмотром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5100 - 30%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7654 - 45%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выявляемость случаев туберкулеза при проф. флюорографии (на 1000 осмотр.)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9 - 1,2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патологии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недостаточны</w:t>
      </w:r>
      <w:r>
        <w:rPr>
          <w:sz w:val="28"/>
          <w:szCs w:val="28"/>
        </w:rPr>
        <w:t>й охват профилактическим флюорографическим осмотром населения отмечается удовлетворительный показатель выявляемости ТОД при профилактическом обследовании.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флюорографическим обследованием групп "риска" по туберкулезу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00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"риска</w:t>
            </w:r>
            <w:r>
              <w:rPr>
                <w:sz w:val="20"/>
                <w:szCs w:val="20"/>
              </w:rPr>
              <w:t>" поликлиники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осмотрена 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"риска" по медицинскому критерию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осмотрена 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охват осмотром лиц, не обследованных более 2 лет  -группы риска по социальному критерию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240 - 80% 18 - 60%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270 - 89,7% 27 - 91,3%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Выявлена тенденция к увеличению группы риска по легочному туберкулезу и охвату ее флюорографическим осмотром, вследствие регулярной работы с врачами общей лечебной сети. Из группы риска выявлено больных (% от впервые выявленных/абс</w:t>
      </w:r>
      <w:r>
        <w:rPr>
          <w:sz w:val="28"/>
          <w:szCs w:val="28"/>
        </w:rPr>
        <w:t>олютное число)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989"/>
        <w:gridCol w:w="9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медицинскому критерию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4,7% / 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14,2% /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социальному критерию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14,2% / 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 /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 осмотренных более 2-х лет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28,5% / 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/ 8</w:t>
            </w:r>
          </w:p>
        </w:tc>
      </w:tr>
    </w:tbl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 связи с повышением охвата профилактическим флюорографическим обследованием н</w:t>
      </w:r>
      <w:r>
        <w:rPr>
          <w:sz w:val="28"/>
          <w:szCs w:val="28"/>
        </w:rPr>
        <w:t>аселения выросло выявление больных туберкулезом по социальному критерию и лиц, не обследованных более 2х лет (соответственно 33,3% и 38% в 2010г.).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очагах 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больной туберкулезом - главный источник инфекции, мною проводится обучен</w:t>
      </w:r>
      <w:r>
        <w:rPr>
          <w:sz w:val="28"/>
          <w:szCs w:val="28"/>
        </w:rPr>
        <w:t>ие больного санитарно-гигиеническим навыкам, в обязательном порядке привлекаю членов его семьи к обследованию и проведению химиопрофилактики, контролирую выполнение текущей и заключительной дезинфекции в очагах.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6"/>
        <w:gridCol w:w="950"/>
        <w:gridCol w:w="950"/>
        <w:gridCol w:w="9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оча</w:t>
            </w:r>
            <w:r>
              <w:rPr>
                <w:sz w:val="20"/>
                <w:szCs w:val="20"/>
              </w:rPr>
              <w:t>гов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заключительных дезинфекций в т.ч. ДЭЗ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контактов (взрослых):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40 66,6%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38 95%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34 89,4%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охвачены химиопрофилактикой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37 92,5%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35 92,1%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34 89,4%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заболели из контактов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7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заболевших </w:t>
      </w:r>
      <w:r>
        <w:rPr>
          <w:sz w:val="28"/>
          <w:szCs w:val="28"/>
        </w:rPr>
        <w:t>из контактов за отчетный период свидетельствует об эффективной профилактической работе на участке. Совместно с эпидемиологом выхожу в очаги по месту работы больного, уточняю условия его труда, даю рекомендации по рациональному трудоустройству. В 2010 г. об</w:t>
      </w:r>
      <w:r>
        <w:rPr>
          <w:sz w:val="28"/>
          <w:szCs w:val="28"/>
        </w:rPr>
        <w:t>следовано - 3 очага по месту работы. В трудоустройстве больные не нуждались. Регулярно организую и провожу на своем участке лечебно-профилактические, противоэпидемические мероприятия, санитарное просвещение среди населения с целью профилактики распростране</w:t>
      </w:r>
      <w:r>
        <w:rPr>
          <w:sz w:val="28"/>
          <w:szCs w:val="28"/>
        </w:rPr>
        <w:t>ния туберкулеза. Составляю план работы на участке, а так же, отчет о проделанной работе. Обучаю больных и членов их семей санитарно-гигиеническим навыкам, пропагандирую здоровый образ жизни. Широко использую аудиторию больных во время консультаций в сомати</w:t>
      </w:r>
      <w:r>
        <w:rPr>
          <w:sz w:val="28"/>
          <w:szCs w:val="28"/>
        </w:rPr>
        <w:t>ческих стационарах и при посещении поликлиники № 10. Мною прочитано 15 лекций и 80 бесед на разнообразные темы ("Алкоголизм и туберкулез", "Здоровый образ жизни", "Роль флюорографии в профилактике туберкулеза" и т.д.).</w:t>
      </w:r>
    </w:p>
    <w:p w:rsidR="00000000" w:rsidRDefault="00257D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врач фтизиатр противотуберку</w:t>
      </w:r>
      <w:r>
        <w:rPr>
          <w:color w:val="FFFFFF"/>
          <w:sz w:val="28"/>
          <w:szCs w:val="28"/>
        </w:rPr>
        <w:t>лезный бациллярный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повышения охвата профилактическим ФЛГ-обследованием населения увеличилось выявление больных по социальному критерию и лиц, не осмотренных более 2х лет. Улучшились показатели эффективности лечения больных деструктивным и баци</w:t>
      </w:r>
      <w:r>
        <w:rPr>
          <w:sz w:val="28"/>
          <w:szCs w:val="28"/>
        </w:rPr>
        <w:t>ллярным туберкулезом, как у впервые заболевших, так и в контингентах.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Повысилось число клинически излеченных больных.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Снизилась средняя продолжительность лечения по листкам нетрудоспособности вследствие повышения эффективности лечения. 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.Контролиро</w:t>
      </w:r>
      <w:r>
        <w:rPr>
          <w:sz w:val="28"/>
          <w:szCs w:val="28"/>
        </w:rPr>
        <w:t>вать работу ЛПУ ОЛС по охвату профилактическим флюорографическим обследованием населения поликлиник.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Добиваться 3-кратного обследования мокроты микроскопическим методом у больных с кашлевым симптомом, больных ХНЗЛ и больных с субфебрилитетом более 2х нед</w:t>
      </w:r>
      <w:r>
        <w:rPr>
          <w:sz w:val="28"/>
          <w:szCs w:val="28"/>
        </w:rPr>
        <w:t>ель.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.Продолжать медицинскую профилактику в ЛПУ ОЛС и в очагах туберкулезной инфекции.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.Усилить работу по эффективности лечения (закрытие полостей распада и прекращение бактериовыделения) среди впервые выявленных больных и в контингентах, в условиях стацио</w:t>
      </w:r>
      <w:r>
        <w:rPr>
          <w:sz w:val="28"/>
          <w:szCs w:val="28"/>
        </w:rPr>
        <w:t xml:space="preserve">нара, санатория или амбулаторно контролируемо. </w:t>
      </w:r>
    </w:p>
    <w:p w:rsidR="00000000" w:rsidRDefault="00257D0A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.Усилить работу по принудительному лечению больных деструктивными и бациллярными формами туберкулеза, оторвавшихся от лечения.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D0A"/>
    <w:rsid w:val="002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0056292-9E7C-4954-A4B8-4828085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3306</Words>
  <Characters>18848</Characters>
  <Application>Microsoft Office Word</Application>
  <DocSecurity>4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2024-03-04T07:15:00Z</dcterms:created>
  <dcterms:modified xsi:type="dcterms:W3CDTF">2024-03-04T07:15:00Z</dcterms:modified>
</cp:coreProperties>
</file>