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6FB" w:rsidRPr="005A15CA" w:rsidRDefault="00D456FB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В</w:t>
      </w:r>
      <w:r w:rsidR="005A15CA" w:rsidRPr="005A15CA">
        <w:rPr>
          <w:b/>
          <w:color w:val="000000"/>
          <w:sz w:val="28"/>
          <w:szCs w:val="28"/>
        </w:rPr>
        <w:t>ведение</w:t>
      </w:r>
    </w:p>
    <w:p w:rsidR="005A15CA" w:rsidRPr="005A15CA" w:rsidRDefault="005A15C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56FB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физиологических</w:t>
      </w:r>
      <w:r w:rsidR="006505E1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условиях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oбpaзование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одним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обязательных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условий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функционирования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Процесс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образования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продвижение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проксимальном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направлении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трахее)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органов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подчеркнуть,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только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механически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защищает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конденсирует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вдыхаемый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воздух,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увлажняет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нормализует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температуру</w:t>
      </w:r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осаждает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эвакуирует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пыль,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обладает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бактериостатическими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(препятствующими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размножению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бактерий)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свойствами.</w:t>
      </w:r>
    </w:p>
    <w:p w:rsidR="00D456FB" w:rsidRPr="005A15CA" w:rsidRDefault="00D456FB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Слизистая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покрыта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многослойным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мерцательным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эпителием,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состоящим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реснитчатых,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бокаловидных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базальных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промежуточных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клеток.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Синхронные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колебательные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движения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реснитчатых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обусловливают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выведение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Каждая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реснитчатая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имeeт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около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ресничек,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колеблющихся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скоростью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колебаний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секунду.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Колебательные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движения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реснитчатых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способствуют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продвижению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трахеобронхиальному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скоростью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мм/мин.</w:t>
      </w:r>
    </w:p>
    <w:p w:rsidR="00D456FB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здоровых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людей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количество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выделяемое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колеблется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пределах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0,1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0,75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5A15CA">
          <w:rPr>
            <w:color w:val="000000"/>
            <w:sz w:val="28"/>
            <w:szCs w:val="28"/>
          </w:rPr>
          <w:t>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кг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мaccы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тела.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Однако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человек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ощущает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избытка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обусловлено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наличием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специального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механизма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мукоцилиарного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транспорта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(мукоцилиарного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клиренса).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Наличие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сложного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механизма,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обусловливающего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мукоцилиарный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клиренс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имeeт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очень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важное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значение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внедрения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патологических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бактерий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счет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колебательных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движений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реснитчатого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появившаяся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просвете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бактерия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продвигается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поверхности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бронхов,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пpивoдит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тoмy,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время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контакта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oднoй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lastRenderedPageBreak/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превышает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0,1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тем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затрудняется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инвазия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(внедрение,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проникновение)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микроорганизмов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пациентов,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страдающих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патологией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трахеобронхиального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например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астмой,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скорость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мукоцилиарного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клиренса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снижена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55%.</w:t>
      </w:r>
    </w:p>
    <w:p w:rsidR="00D456FB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продуцируемая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железами,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бокаловидными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клетками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поверхностного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Кроме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того,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специальное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белков</w:t>
      </w:r>
      <w:r w:rsidR="00D456FB" w:rsidRPr="005A15CA">
        <w:rPr>
          <w:color w:val="000000"/>
          <w:sz w:val="28"/>
          <w:szCs w:val="28"/>
        </w:rPr>
        <w:t>о-мукополисахаридно</w:t>
      </w:r>
      <w:r w:rsidRPr="005A15CA">
        <w:rPr>
          <w:color w:val="000000"/>
          <w:sz w:val="28"/>
          <w:szCs w:val="28"/>
        </w:rPr>
        <w:t>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сурфaктант,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секретируемое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альвеолярными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клетками.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Сурфaктант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участие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регуляции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реологических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свойств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(текучести)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тeм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улучшает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продвижение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легочному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эпителию,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т.е.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облегчает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трахеобронхиальным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деревом.</w:t>
      </w:r>
    </w:p>
    <w:p w:rsidR="00D456FB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физико-химическим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свойствам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представляет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собой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многокомпонентный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коллоидный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состоящий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двух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слоев,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фаз: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верхнего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(густого)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геля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толщиной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мкм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нижнего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(жидкого)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золя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толщиной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мкм,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кoтopом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плавают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сокращаются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реснички.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Гель,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нерастворимая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имeeт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фибриллярную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структуру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образован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макромолекулярным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гликопротеиновым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комплексом.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Золь,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растворимая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секрета,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содержит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электролиты,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биологически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числе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ферменты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ингибиторы.</w:t>
      </w:r>
    </w:p>
    <w:p w:rsidR="00D456FB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cлyчaях,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когда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мукоцилиарный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клиренс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обеспечивает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дренаж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трахеобронхиального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возникает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продуктивный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кашель,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кoтopый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становится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важным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компонентом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реакции.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Однако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непосредственно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кашель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многих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cлyчaях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состоянии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обеспечить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адекватный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дренаж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бронхов,</w:t>
      </w:r>
      <w:r w:rsidR="005A15CA" w:rsidRPr="005A15CA">
        <w:rPr>
          <w:color w:val="000000"/>
          <w:sz w:val="28"/>
          <w:szCs w:val="28"/>
        </w:rPr>
        <w:t xml:space="preserve"> </w:t>
      </w:r>
      <w:r w:rsidR="00D456FB"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требует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использования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и/или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лекарственных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Фармакотерапия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муколитическими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лекарственными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симптоматической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ставит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перед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собой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следующие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задачи: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lastRenderedPageBreak/>
        <w:t>понизить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облегчить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отделение;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повысить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реснитчатого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трахеобронхиального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улучшить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дренаж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Улучшение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дренажа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улучшает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газообмен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способствует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выведению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организма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болезнетворных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микробов.</w:t>
      </w:r>
    </w:p>
    <w:p w:rsidR="004F2281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органов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клеток,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выстилающих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–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реснитчатого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секреция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напротив,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увеличивается,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вязкость.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становится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труднее.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Кроме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того,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несмотря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самостоятельное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защитное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избыточное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количество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повышенная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затрудняют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газообмен,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создают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условия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размножения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болезнетворных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микроорганизмов.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почему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воспалении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даже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продуктивном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затрудненном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откашливании,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стимулирующие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разжижающие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восстанавливают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улучшают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продвижение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помощью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реснитчатого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ускоряют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выведение.</w:t>
      </w:r>
    </w:p>
    <w:p w:rsidR="00D456FB" w:rsidRPr="005A15CA" w:rsidRDefault="005A15CA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456FB" w:rsidRPr="005A15CA">
        <w:rPr>
          <w:b/>
          <w:color w:val="000000"/>
          <w:sz w:val="28"/>
          <w:szCs w:val="28"/>
        </w:rPr>
        <w:t>К</w:t>
      </w:r>
      <w:r w:rsidRPr="005A15CA">
        <w:rPr>
          <w:b/>
          <w:color w:val="000000"/>
          <w:sz w:val="28"/>
          <w:szCs w:val="28"/>
        </w:rPr>
        <w:t>лассификация отхаркивающих препаратов</w:t>
      </w:r>
    </w:p>
    <w:p w:rsidR="005A15CA" w:rsidRDefault="005A15C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механизму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делят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группы: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1)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рефлекторного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действия;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2)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прямого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Отхаркивающие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средства</w:t>
      </w:r>
      <w:r w:rsidR="006505E1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рефлекторного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действия</w:t>
      </w:r>
    </w:p>
    <w:p w:rsidR="005A15CA" w:rsidRDefault="005A15C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Установлено,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раздражающие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рецепторы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рвоту,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обладают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свойством.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относятся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(мышатника)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(Thermopsis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lanceoeata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семейства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бобовых),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алтея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(Althaea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officinalis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Althaea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armeniaca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семейства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мальвовых),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истода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(Polygala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tenuifolia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Polygala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sibiricum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семейства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истодовых),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солодки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(Glycyrrhiza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glabra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Glycyrrhiza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uralensis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семейства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бобовых),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корневище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корнями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синюхи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(Polemonium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coeruleum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семейства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синюховых)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содержащиеся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названных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растениях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алкалоиды,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сапонины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эфирные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Механизм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следующий.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Раздражая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рецепторы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дозах,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рвоту),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рефлекторно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изменения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усиливается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секреция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становится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менее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вязкой.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облегчается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ресничек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мерцательного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движения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ресничек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способствуют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выведению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Необходимо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отметить,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растительное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происхождение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лекарственного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еще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означает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безопасности.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ипекакуаны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способствуют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значительному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объема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усиливают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рефлекс.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Усиливает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кашлевой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рефлексы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Поэтому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месяцев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жизни,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поражением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ЦНС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использовать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следует: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могут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причиной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аспирации,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асфиксии,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образования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ателектазов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усилить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рвоту,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связанную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кашлем.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солодка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душица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обладают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довольно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выраженным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слабительным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рекомендуются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наличии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ребенка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диареи.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Ментол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спазм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голосовой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щели,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приводящий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острой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асфиксии.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перечисленными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выше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нежелательными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группы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показаны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использования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годы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жизни.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относятся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Бронхосан,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содержащий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ментол,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</w:t>
      </w:r>
    </w:p>
    <w:p w:rsidR="0011201A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рефлекторного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относятся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тaкжe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преобладающей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(апоморфин,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ликорин),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эффект.</w:t>
      </w:r>
    </w:p>
    <w:p w:rsidR="00B310F8" w:rsidRPr="005A15CA" w:rsidRDefault="00B310F8" w:rsidP="005A15CA">
      <w:pPr>
        <w:tabs>
          <w:tab w:val="left" w:pos="22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2281" w:rsidRPr="005A15CA" w:rsidRDefault="00B310F8" w:rsidP="005A15CA">
      <w:pPr>
        <w:tabs>
          <w:tab w:val="left" w:pos="22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Примеры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="005A15CA">
        <w:rPr>
          <w:b/>
          <w:color w:val="000000"/>
          <w:sz w:val="28"/>
          <w:szCs w:val="28"/>
        </w:rPr>
        <w:t>препаратов</w:t>
      </w:r>
    </w:p>
    <w:p w:rsidR="00B310F8" w:rsidRPr="005A15CA" w:rsidRDefault="00B310F8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ЛАНЦЕНТНОГО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(Herba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Thermopsidis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lanceolate)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Собранная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начале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цветения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образования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плодов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высушенная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дикорастущего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многолетнего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ланцентного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(Termopsis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lanceolate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R.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Br.)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бобовых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(Leguminosae).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алкалоиды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(цитизин,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метилцитизин,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пахикарпин,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анагирин,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термопсидин),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сапонины,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эфирное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другие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Алкалоидов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должно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быть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менее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1,5%.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Содержащиеся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сложное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организм.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Цитизин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меньшей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степени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метилцитизин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возбуждают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дыхание,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пахикарпин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угнетающее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влияние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вегетативные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ганглии.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целом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сумма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больших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качестве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порошок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0,01-</w:t>
      </w:r>
      <w:smartTag w:uri="urn:schemas-microsoft-com:office:smarttags" w:element="metricconverter">
        <w:smartTagPr>
          <w:attr w:name="ProductID" w:val="0,05 г"/>
        </w:smartTagPr>
        <w:r w:rsidRPr="005A15CA">
          <w:rPr>
            <w:color w:val="000000"/>
            <w:sz w:val="28"/>
            <w:szCs w:val="28"/>
          </w:rPr>
          <w:t>0,05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(0,6-</w:t>
      </w:r>
      <w:smartTag w:uri="urn:schemas-microsoft-com:office:smarttags" w:element="metricconverter">
        <w:smartTagPr>
          <w:attr w:name="ProductID" w:val="1 г"/>
        </w:smartTagPr>
        <w:r w:rsidRPr="005A15CA">
          <w:rPr>
            <w:color w:val="000000"/>
            <w:sz w:val="28"/>
            <w:szCs w:val="28"/>
          </w:rPr>
          <w:t>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180-200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рекомендуется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1/2-1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чайной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десертной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 г"/>
        </w:smartTagPr>
        <w:r w:rsidRPr="005A15CA">
          <w:rPr>
            <w:color w:val="000000"/>
            <w:sz w:val="28"/>
            <w:szCs w:val="28"/>
          </w:rPr>
          <w:t>0,2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Высшие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разовая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г"/>
        </w:smartTagPr>
        <w:r w:rsidRPr="005A15CA">
          <w:rPr>
            <w:color w:val="000000"/>
            <w:sz w:val="28"/>
            <w:szCs w:val="28"/>
          </w:rPr>
          <w:t>0,1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суточная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 г"/>
        </w:smartTagPr>
        <w:r w:rsidRPr="005A15CA">
          <w:rPr>
            <w:color w:val="000000"/>
            <w:sz w:val="28"/>
            <w:szCs w:val="28"/>
          </w:rPr>
          <w:t>0,3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Побочное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выявлено.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Противопоказания.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установлены.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Порошок.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Список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СУХАЯ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МИКСТУРА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(Mixture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sicca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contra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tussim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pro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adultis)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качестве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Водный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1:10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флаконах.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Состав: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 г"/>
        </w:smartTagPr>
        <w:r w:rsidRPr="005A15CA">
          <w:rPr>
            <w:color w:val="000000"/>
            <w:sz w:val="28"/>
            <w:szCs w:val="28"/>
          </w:rPr>
          <w:t>0,6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сухого,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5A15CA">
          <w:rPr>
            <w:color w:val="000000"/>
            <w:sz w:val="28"/>
            <w:szCs w:val="28"/>
          </w:rPr>
          <w:t>2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солодкового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сухого,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5A15CA">
          <w:rPr>
            <w:color w:val="000000"/>
            <w:sz w:val="28"/>
            <w:szCs w:val="28"/>
          </w:rPr>
          <w:t>2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гидрокарбоната,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бензоата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аммония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хлорида,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5 г"/>
        </w:smartTagPr>
        <w:r w:rsidRPr="005A15CA">
          <w:rPr>
            <w:color w:val="000000"/>
            <w:sz w:val="28"/>
            <w:szCs w:val="28"/>
          </w:rPr>
          <w:t>0,05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анисового,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5A15CA">
          <w:rPr>
            <w:color w:val="000000"/>
            <w:sz w:val="28"/>
            <w:szCs w:val="28"/>
          </w:rPr>
          <w:t>10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сахара.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03CF1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A15CA">
        <w:rPr>
          <w:color w:val="000000"/>
          <w:sz w:val="28"/>
          <w:szCs w:val="28"/>
        </w:rPr>
        <w:t>ТАБЛЕТКИ</w:t>
      </w:r>
      <w:r w:rsidR="005A15CA" w:rsidRPr="00503CF1">
        <w:rPr>
          <w:color w:val="000000"/>
          <w:sz w:val="28"/>
          <w:szCs w:val="28"/>
          <w:lang w:val="en-US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03CF1">
        <w:rPr>
          <w:color w:val="000000"/>
          <w:sz w:val="28"/>
          <w:szCs w:val="28"/>
          <w:lang w:val="en-US"/>
        </w:rPr>
        <w:t xml:space="preserve"> </w:t>
      </w:r>
      <w:r w:rsidRPr="005A15CA">
        <w:rPr>
          <w:color w:val="000000"/>
          <w:sz w:val="28"/>
          <w:szCs w:val="28"/>
        </w:rPr>
        <w:t>КАШЛЯ</w:t>
      </w:r>
      <w:r w:rsidR="005A15CA" w:rsidRPr="00503CF1">
        <w:rPr>
          <w:color w:val="000000"/>
          <w:sz w:val="28"/>
          <w:szCs w:val="28"/>
          <w:lang w:val="en-US"/>
        </w:rPr>
        <w:t xml:space="preserve"> </w:t>
      </w:r>
      <w:r w:rsidRPr="00503CF1">
        <w:rPr>
          <w:color w:val="000000"/>
          <w:sz w:val="28"/>
          <w:szCs w:val="28"/>
          <w:lang w:val="en-US"/>
        </w:rPr>
        <w:t>(</w:t>
      </w:r>
      <w:r w:rsidRPr="005A15CA">
        <w:rPr>
          <w:color w:val="000000"/>
          <w:sz w:val="28"/>
          <w:szCs w:val="28"/>
          <w:lang w:val="en-US"/>
        </w:rPr>
        <w:t>Tabulettae</w:t>
      </w:r>
      <w:r w:rsidR="005A15CA" w:rsidRPr="00503CF1">
        <w:rPr>
          <w:color w:val="000000"/>
          <w:sz w:val="28"/>
          <w:szCs w:val="28"/>
          <w:lang w:val="en-US"/>
        </w:rPr>
        <w:t xml:space="preserve"> </w:t>
      </w:r>
      <w:r w:rsidRPr="005A15CA">
        <w:rPr>
          <w:color w:val="000000"/>
          <w:sz w:val="28"/>
          <w:szCs w:val="28"/>
          <w:lang w:val="en-US"/>
        </w:rPr>
        <w:t>contra</w:t>
      </w:r>
      <w:r w:rsidR="005A15CA" w:rsidRPr="00503CF1">
        <w:rPr>
          <w:color w:val="000000"/>
          <w:sz w:val="28"/>
          <w:szCs w:val="28"/>
          <w:lang w:val="en-US"/>
        </w:rPr>
        <w:t xml:space="preserve"> </w:t>
      </w:r>
      <w:r w:rsidRPr="005A15CA">
        <w:rPr>
          <w:color w:val="000000"/>
          <w:sz w:val="28"/>
          <w:szCs w:val="28"/>
          <w:lang w:val="en-US"/>
        </w:rPr>
        <w:t>tussim</w:t>
      </w:r>
      <w:r w:rsidRPr="00503CF1">
        <w:rPr>
          <w:color w:val="000000"/>
          <w:sz w:val="28"/>
          <w:szCs w:val="28"/>
          <w:lang w:val="en-US"/>
        </w:rPr>
        <w:t>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таблеток.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мелком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порошке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1 г"/>
        </w:smartTagPr>
        <w:r w:rsidRPr="005A15CA">
          <w:rPr>
            <w:color w:val="000000"/>
            <w:sz w:val="28"/>
            <w:szCs w:val="28"/>
          </w:rPr>
          <w:t>0,01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гидрокарбоната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 г"/>
        </w:smartTagPr>
        <w:r w:rsidRPr="005A15CA">
          <w:rPr>
            <w:color w:val="000000"/>
            <w:sz w:val="28"/>
            <w:szCs w:val="28"/>
          </w:rPr>
          <w:t>0,25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защищенном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ЭКСТРАКТ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(Extractum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Thermopsidis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siccum)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Смесь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молочного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сахара;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5A15CA">
          <w:rPr>
            <w:color w:val="000000"/>
            <w:sz w:val="28"/>
            <w:szCs w:val="28"/>
          </w:rPr>
          <w:t>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содержанию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алкалоидов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соответствует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5A15CA">
          <w:rPr>
            <w:color w:val="000000"/>
            <w:sz w:val="28"/>
            <w:szCs w:val="28"/>
          </w:rPr>
          <w:t>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термопсиса,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алкалоидов.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5 г"/>
        </w:smartTagPr>
        <w:r w:rsidRPr="005A15CA">
          <w:rPr>
            <w:color w:val="000000"/>
            <w:sz w:val="28"/>
            <w:szCs w:val="28"/>
          </w:rPr>
          <w:t>0,05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Список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СБОРГРУДНОЙ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№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(Species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pectoralis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№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1)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верхних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путей.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заливают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стаканом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кипятка,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настаивают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минут.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1/2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стакана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еды.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5A15CA">
          <w:rPr>
            <w:color w:val="000000"/>
            <w:sz w:val="28"/>
            <w:szCs w:val="28"/>
          </w:rPr>
          <w:t>100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664905"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Состав: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корня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алтея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части,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листьев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мать-и-мачехи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4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части,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травы</w:t>
      </w:r>
      <w:r w:rsidR="005A15CA" w:rsidRPr="005A15CA">
        <w:rPr>
          <w:color w:val="000000"/>
          <w:sz w:val="28"/>
          <w:szCs w:val="28"/>
        </w:rPr>
        <w:t xml:space="preserve"> </w:t>
      </w:r>
      <w:r w:rsidR="00664905" w:rsidRPr="005A15CA">
        <w:rPr>
          <w:color w:val="000000"/>
          <w:sz w:val="28"/>
          <w:szCs w:val="28"/>
        </w:rPr>
        <w:t>душицы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части.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СБОРГРУДНОЙ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№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(Species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pectoralis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№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3)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верхних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путей.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заливают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стаканом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кипятка,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настаивают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минут.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[/2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стакана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еды.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5A15CA">
          <w:rPr>
            <w:color w:val="000000"/>
            <w:sz w:val="28"/>
            <w:szCs w:val="28"/>
          </w:rPr>
          <w:t>100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8,8 г"/>
        </w:smartTagPr>
        <w:r w:rsidRPr="005A15CA">
          <w:rPr>
            <w:color w:val="000000"/>
            <w:sz w:val="28"/>
            <w:szCs w:val="28"/>
          </w:rPr>
          <w:t>28,8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анисового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измельченного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солодки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измельченного,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,4 г"/>
        </w:smartTagPr>
        <w:r w:rsidRPr="005A15CA">
          <w:rPr>
            <w:color w:val="000000"/>
            <w:sz w:val="28"/>
            <w:szCs w:val="28"/>
          </w:rPr>
          <w:t>14,4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листьев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шалфея,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плодов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почек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измельченных.</w:t>
      </w:r>
    </w:p>
    <w:p w:rsidR="00DE7001" w:rsidRPr="005A15CA" w:rsidRDefault="00DE700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CF7240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201A" w:rsidRPr="005A15CA">
        <w:rPr>
          <w:color w:val="000000"/>
          <w:sz w:val="28"/>
          <w:szCs w:val="28"/>
        </w:rPr>
        <w:t>ГЛИЦИРАМ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(Glycyram)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Соль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глицирризиновой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выделенной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солодки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голой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(Glycyrrhiza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glabra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L.).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умеренное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противовоспалительное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связанное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некоторым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стимулирующим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влиянием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надпочечников,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имеет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слабо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выраженный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формах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астмы,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аллергических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дерматитах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(воспалении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кожи),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числе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дерматозах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(кожных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болезнях)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применяться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явлений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"отмены"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прекращении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глюкокортикостероидов.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еды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0,05-</w:t>
      </w:r>
      <w:smartTag w:uri="urn:schemas-microsoft-com:office:smarttags" w:element="metricconverter">
        <w:smartTagPr>
          <w:attr w:name="ProductID" w:val="0,1 г"/>
        </w:smartTagPr>
        <w:r w:rsidRPr="005A15CA">
          <w:rPr>
            <w:color w:val="000000"/>
            <w:sz w:val="28"/>
            <w:szCs w:val="28"/>
          </w:rPr>
          <w:t>0,1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(1-2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таблетки)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вдень;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тяжелых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случаях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г"/>
        </w:smartTagPr>
        <w:r w:rsidRPr="005A15CA">
          <w:rPr>
            <w:color w:val="000000"/>
            <w:sz w:val="28"/>
            <w:szCs w:val="28"/>
          </w:rPr>
          <w:t>0,1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глицерам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рекомендуется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гранул.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давать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0/4-1/2-1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зависимости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возраста).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Длительность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лечения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глицирамом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строго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индивидуальна.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Курс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лечения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продолжаться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нескольких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дней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нескольких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месяцев.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Противопоказания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Органические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поражения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сердца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нарушения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почек.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5 г"/>
        </w:smartTagPr>
        <w:r w:rsidRPr="005A15CA">
          <w:rPr>
            <w:color w:val="000000"/>
            <w:sz w:val="28"/>
            <w:szCs w:val="28"/>
          </w:rPr>
          <w:t>0,05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штук;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гранулы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стеклянных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банках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одноразовых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пакетах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целлофана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3 г"/>
        </w:smartTagPr>
        <w:r w:rsidRPr="005A15CA">
          <w:rPr>
            <w:color w:val="000000"/>
            <w:sz w:val="28"/>
            <w:szCs w:val="28"/>
          </w:rPr>
          <w:t>1,3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Список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защищенном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СИНЮХИ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ЛАЗУРНОЙ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КОРНЕВИЩЕ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КОРНЯМИ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(Rhizoma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cum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radicibus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Polemonii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coerulei)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Содержит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тритерпеновые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сапонины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(20-30%),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сапонины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(96%)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нейтральные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сапонины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(4%),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смолы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(1,25%),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органические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жирные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эфирные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бронхитах;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успокаивающее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болеутоляющее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язвенной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настоев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(6,0-8,0:200,0)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отваров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(3,0-6,0:200,0)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еды;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язвенной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отвара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еды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совместно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сушеницы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болотной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(10,0:200,0)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еды.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Побочное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выявлено.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Противопоказания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установлены.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Корневище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корнями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резаные.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СОЛОДКИ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(Radix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Glycyrrhizae)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Синонимы: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Лакричный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Содержит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глицирризин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(%),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флавоноиды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(ликвиритин,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ликвиритозид),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бета-ситостерин,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пектины,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сахар,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крахмал.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качестве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сопровождающихся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кашлем,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противовоспалительное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спазмолитическое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(снимающее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спазмы)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гиперацидном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гастрите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(воспалении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вследствие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стойкого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кислотности),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язвенной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двенадцатиперстной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кишки.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(15,0:200,0)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4-5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Побочное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выявлено.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Противопоказания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установлены.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5A15CA">
          <w:rPr>
            <w:color w:val="000000"/>
            <w:sz w:val="28"/>
            <w:szCs w:val="28"/>
          </w:rPr>
          <w:t>100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СИРОП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АЛТЕЙНЫЙ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(SirupusAlthaeae)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верхних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каждые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чайной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4-5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стеклянных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флаконах.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алтейного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сухого,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98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сиропа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сахарного.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Прозрачная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жидкость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желтоватого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цвета,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слабого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своеобразного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запаха,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сладкого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вкуса.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АЛТЕЯ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(RadixAlthaeae)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Содержит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35%),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аспарагин,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бетаин,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пектиновые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крахмал.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противовоспалительное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(3,0:100,0)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4-5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Резаный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5A15CA">
          <w:rPr>
            <w:color w:val="000000"/>
            <w:sz w:val="28"/>
            <w:szCs w:val="28"/>
          </w:rPr>
          <w:t>100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сухой.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МУКАЛТИН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(Mucalthinum)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Смесь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полисахаридов,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получаемая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алтея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лекарственного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(AlthaeaofficinalisL.).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(трахеиты,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пневмонии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др.).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еды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0,05-</w:t>
      </w:r>
      <w:smartTag w:uri="urn:schemas-microsoft-com:office:smarttags" w:element="metricconverter">
        <w:smartTagPr>
          <w:attr w:name="ProductID" w:val="0,1 г"/>
        </w:smartTagPr>
        <w:r w:rsidRPr="005A15CA">
          <w:rPr>
            <w:color w:val="000000"/>
            <w:sz w:val="28"/>
            <w:szCs w:val="28"/>
          </w:rPr>
          <w:t>0,1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5 г"/>
        </w:smartTagPr>
        <w:r w:rsidRPr="005A15CA">
          <w:rPr>
            <w:color w:val="000000"/>
            <w:sz w:val="28"/>
            <w:szCs w:val="28"/>
          </w:rPr>
          <w:t>0,05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штук.</w:t>
      </w:r>
    </w:p>
    <w:p w:rsidR="00B310F8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C40A95" w:rsidRPr="005A15CA" w:rsidRDefault="00C40A95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10F8" w:rsidRDefault="00CF7240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310F8" w:rsidRPr="005A15CA">
        <w:rPr>
          <w:b/>
          <w:color w:val="000000"/>
          <w:sz w:val="28"/>
          <w:szCs w:val="28"/>
        </w:rPr>
        <w:t>Отхаркивающие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="00B310F8" w:rsidRPr="005A15CA">
        <w:rPr>
          <w:b/>
          <w:color w:val="000000"/>
          <w:sz w:val="28"/>
          <w:szCs w:val="28"/>
        </w:rPr>
        <w:t>средства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="0011201A" w:rsidRPr="005A15CA">
        <w:rPr>
          <w:b/>
          <w:color w:val="000000"/>
          <w:sz w:val="28"/>
          <w:szCs w:val="28"/>
        </w:rPr>
        <w:t>прямого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="0011201A" w:rsidRPr="005A15CA">
        <w:rPr>
          <w:b/>
          <w:color w:val="000000"/>
          <w:sz w:val="28"/>
          <w:szCs w:val="28"/>
        </w:rPr>
        <w:t>типа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="0011201A" w:rsidRPr="005A15CA">
        <w:rPr>
          <w:b/>
          <w:color w:val="000000"/>
          <w:sz w:val="28"/>
          <w:szCs w:val="28"/>
        </w:rPr>
        <w:t>действия</w:t>
      </w:r>
    </w:p>
    <w:p w:rsidR="005A15CA" w:rsidRPr="005A15CA" w:rsidRDefault="005A15C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281" w:rsidRPr="005A15CA" w:rsidRDefault="00B310F8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ним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относят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муколитические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вещества,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которые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непосредственном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контакте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мокротой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уменьшают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вязкость.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группе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прямого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различают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подгруппы: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1)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стимулирующие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(секретомоторные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средства);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2)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разжижающие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(секретолитические</w:t>
      </w:r>
      <w:r w:rsidR="00FF2EF2"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муколитические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средства).</w:t>
      </w:r>
    </w:p>
    <w:p w:rsidR="00B310F8" w:rsidRPr="005A15CA" w:rsidRDefault="00B310F8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подгруппе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относятся: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1.Соли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йода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(например,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NaI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KI)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Калия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йодид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йодид.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указанных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йода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(обычно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выделяются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железами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способствуя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отделению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вязкости.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2.Эфирные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(анисовое,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фенхелевое,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эвкалиптовое,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терпентинное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др.)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детской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практике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настоящего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времени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нашатырно-анисовые.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аммиака,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оказывающий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рефлекторное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анисовое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действующее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начало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прямое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3.Гидрохлорид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(пищевая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сода)</w:t>
      </w:r>
    </w:p>
    <w:p w:rsidR="00B310F8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Уменьшать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обладает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гидрокарбонат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щелочными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свойствами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(щелочи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разжижают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секреты).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эффективен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ингаляционном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применении.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Лекарства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группы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используются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главным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ингаляций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попадании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стимулируют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выработку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жидкой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Группа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разжижающих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(муколитики)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большая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включает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разжижающие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счет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расщепления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входящих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полимеров.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Наиболее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известные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представители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группы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это:</w:t>
      </w:r>
    </w:p>
    <w:p w:rsidR="004F2281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1.</w:t>
      </w:r>
      <w:r w:rsidR="004F2281" w:rsidRPr="005A15CA">
        <w:rPr>
          <w:color w:val="000000"/>
          <w:sz w:val="28"/>
          <w:szCs w:val="28"/>
        </w:rPr>
        <w:t>Ацетилцистеин</w:t>
      </w:r>
    </w:p>
    <w:p w:rsidR="004F2281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2.</w:t>
      </w:r>
      <w:r w:rsidR="004F2281" w:rsidRPr="005A15CA">
        <w:rPr>
          <w:color w:val="000000"/>
          <w:sz w:val="28"/>
          <w:szCs w:val="28"/>
        </w:rPr>
        <w:t>Аброксол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="004F2281" w:rsidRPr="005A15CA">
        <w:rPr>
          <w:color w:val="000000"/>
          <w:sz w:val="28"/>
          <w:szCs w:val="28"/>
        </w:rPr>
        <w:t>(Лазолван,</w:t>
      </w:r>
      <w:r w:rsidR="005A15CA" w:rsidRPr="005A15CA">
        <w:rPr>
          <w:color w:val="000000"/>
          <w:sz w:val="28"/>
          <w:szCs w:val="28"/>
        </w:rPr>
        <w:t xml:space="preserve"> </w:t>
      </w:r>
      <w:r w:rsidR="004F2281" w:rsidRPr="005A15CA">
        <w:rPr>
          <w:color w:val="000000"/>
          <w:sz w:val="28"/>
          <w:szCs w:val="28"/>
        </w:rPr>
        <w:t>Амбробене)</w:t>
      </w:r>
    </w:p>
    <w:p w:rsidR="004F2281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3.</w:t>
      </w:r>
      <w:r w:rsidR="004F2281" w:rsidRPr="005A15CA">
        <w:rPr>
          <w:color w:val="000000"/>
          <w:sz w:val="28"/>
          <w:szCs w:val="28"/>
        </w:rPr>
        <w:t>Бромгексин</w:t>
      </w:r>
    </w:p>
    <w:p w:rsidR="00B310F8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Проникая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разрушают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молекулы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белков,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нуклеиновых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других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полимеров,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делающих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результате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становится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жидкой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текучей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выводится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время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Некоторые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стимулировать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работу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способствуют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сурфактанта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особого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выстилающего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внутреннюю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поверхность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альвеол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предотвращающего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слипание.</w:t>
      </w:r>
    </w:p>
    <w:p w:rsidR="00B310F8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первым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лекарственным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группы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относились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ферментные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препараты–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трипсин,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хемотрипсин,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рибонуклеаза,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обладали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серьезными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побочными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(бронхоспазм,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кровохаркание,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деструкция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межальвеолярных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перегородок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дефиците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б1-антитрипсина).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воздействии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трипсина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белковые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происходит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расщепление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Сейчас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применяются.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настоящее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время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ферментные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представлены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ДНКазы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Дорназе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(Пульмозим),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муковисцидозе.</w:t>
      </w:r>
    </w:p>
    <w:p w:rsidR="00B310F8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последние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годы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используемые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широко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педиатрии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представлены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производными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цистеина: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(АЦЦ),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(АмброГЕКСАЛ,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Лазолван,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Амбробене),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карбоцистеин.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Особенностью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механизма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разжижая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практически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увеличивают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объем.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карбоцистеин,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нарушают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целостность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дисульфидных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мукополисахаридов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геля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самым,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разжижая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адгезивность.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Ацетилцистеин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(АЦЦ)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помимо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разжижает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гной,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стимулируя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синтез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мукозных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клеток,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лизирующих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фибрин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кровяные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сгустки.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Кроме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того,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АЦЦ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синтез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глутатиона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лимфоидных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клетках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способствуя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функциональному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созреванию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детоксикационную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клеточного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аппарата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оболочек.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АЦЦ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чаще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хорошо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всасывается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быстро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создаются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эффективные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концентрации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хирургической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эндоскопической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практике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АЦЦ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используют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эндотрахеально,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медленных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инстиляций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необходимости,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парентерально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–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внутримышечно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внутривенно.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начинается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минут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продолжается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астмой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используют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большой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осторожностью,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бронхоспазм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резко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усугублять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состояние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пациента.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Бромгексина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гидрохлорид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характеризуется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способностью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счет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разрушения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муцинов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геля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Наряду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выработку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нейтральных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полисахаридов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высвобождение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лизосомальных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ферментов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железами.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Большое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значение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имеет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стимулировать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синтез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сурфактанта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(антиателектатического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фактора)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альвеолярными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пневмоцитами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II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порядка.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Сурфактант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обеспечивает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стабильность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альвеолярных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процессе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дыхания,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защищает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внешних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неблагоприятных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факторов,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улучшает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«скольжение»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улучшение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скольжения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облегчает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Фармакокинетика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дозозависима,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</w:t>
      </w:r>
      <w:r w:rsidR="003C50D8" w:rsidRPr="005A15CA">
        <w:rPr>
          <w:color w:val="000000"/>
          <w:sz w:val="28"/>
          <w:szCs w:val="28"/>
        </w:rPr>
        <w:t>мо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учитывать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назначении.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многократном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кумулироваться.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Кроме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того,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кумуляция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возможна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почечной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недостаточности,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выводится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почками.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Метаболизм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зависит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функционального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состояния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печеночной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недостаточности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снижается.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широкой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медицинской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практике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возрастающих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дозировках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зависимости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возраста,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возможно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ингаляционное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введение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нейбулайзер,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хирургии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–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парентеральное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введение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внутримышечно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внутривенно.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ингаляции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наступает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мин.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продолжается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4-8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Следует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обратить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внимание,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самостоятельное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быть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нежелательным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пациентов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астмой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муковисцидозом.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Поэтому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рекомендуется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одновременный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бронхолитиков.</w:t>
      </w:r>
    </w:p>
    <w:p w:rsidR="00B310F8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Амброксола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гидрохлорид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(АмброГЕКСАЛ</w:t>
      </w:r>
      <w:r w:rsidR="003C50D8"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Лазолван,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Амбробене</w:t>
      </w:r>
      <w:r w:rsidRPr="005A15CA">
        <w:rPr>
          <w:color w:val="000000"/>
          <w:sz w:val="28"/>
          <w:szCs w:val="28"/>
        </w:rPr>
        <w:t>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метаболитом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образующимся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последнего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своему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значительно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превосходит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особенно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отношении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увеличивать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синтез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сурфактанта,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помимо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стимуляции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синтеза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сурфактанта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блокирует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распад.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основана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выраженная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сравнению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увеличивать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мукоцилиарный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клиренс.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Амбро</w:t>
      </w:r>
      <w:r w:rsidR="003C50D8" w:rsidRPr="005A15CA">
        <w:rPr>
          <w:color w:val="000000"/>
          <w:sz w:val="28"/>
          <w:szCs w:val="28"/>
        </w:rPr>
        <w:t>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выпускается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таблеток,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ретардных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капсул,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сиропа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ингаляций.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широкой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врачебной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практике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обычно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применяются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формы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выпуска.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лечении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пневмонии,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ателектазов,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хронического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хирургической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практике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ингаляций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нейбулайзер).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АЦЦ,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АмброГЕКСАЛ,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могут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быть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широко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использованы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лечении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вызванного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нижних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отделов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респираторного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особенно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пяти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жизни,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повышенная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патогенетическим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фактором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формирования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бронхообструкции.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Склонность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недостаточности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синтеза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сурфактанта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обосновывает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использование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АмброГЕКСАЛ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неонатологической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практике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недель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жизни.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Карбоцистеин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представляет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собой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производное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цистеина,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особенностью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фармакологического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наряду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муколитическим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карбоцистеин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изменяет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количественное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соотношение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между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нейтральными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сиаломуцинами,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приближая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нормальному.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влиянием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количество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бокаловидных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выработка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проявляется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всех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уровнях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респираторного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тракта,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уровне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уровне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оболочек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носоглотки,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придаточных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пазух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среднего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уха.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Поэтому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широко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оториноларингологии.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Выведение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осуществляется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почками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занимает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около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суток,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т.е.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достаточно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медленное.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Учитывая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фармакологические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особенности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карбоцистеина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детском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возрасте,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соблюдать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некоторые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предосторожности: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желательно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сочетание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карбоцистеина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другими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лекарственными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подавлющими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секреторную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(противокашлевые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центрального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макролидные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антибиотики,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антигистаминные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I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поколения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др.),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запорах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склонности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запорам.</w:t>
      </w:r>
    </w:p>
    <w:p w:rsidR="00B310F8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настоящее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время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широко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изготовленные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гвайфенезина.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своему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гвайфенезин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занимает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промежуточное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положение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между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муколитическими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препаратами.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Колдрекс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Туссин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(комбинированный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включающий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наряду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гвайфенезином,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карамель,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глицерин,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лимонную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кислоту,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бензоат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кукурузный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сироп),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Стоптуссин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(комбинированный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включающий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центрального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бутимират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гвайфенизин,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подавляет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кашлевого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центра)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ряд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других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безрецептурных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гвайфенезина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обычно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составляет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следует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каждые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гвайфенезина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могут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использоваться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старше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своему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гвайфенезин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занимает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промежуточное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положение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между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муколитическими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препаратами.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отличие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описанных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выше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гвайфенезина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основано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прилипания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счет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деполимеризации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мукополисахаридов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отчетливое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(хотя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менее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вязкой)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сближает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гвайфенезина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Побочных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гвайфенезина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отмечено,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достоверных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данных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достаточной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эффективности.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опосредованным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действием.</w:t>
      </w:r>
    </w:p>
    <w:p w:rsidR="00CF7240" w:rsidRDefault="00CF7240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10F8" w:rsidRPr="005A15CA" w:rsidRDefault="00B310F8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Примеры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="005A15CA">
        <w:rPr>
          <w:b/>
          <w:color w:val="000000"/>
          <w:sz w:val="28"/>
          <w:szCs w:val="28"/>
        </w:rPr>
        <w:t>препаратов</w:t>
      </w:r>
    </w:p>
    <w:p w:rsidR="00B310F8" w:rsidRPr="005A15CA" w:rsidRDefault="00B310F8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ТЕРПИНГИДРАТ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(Terpinum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hydratum)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хроническом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бронхите).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самостоятельно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сочетании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другими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0,25-</w:t>
      </w:r>
      <w:smartTag w:uri="urn:schemas-microsoft-com:office:smarttags" w:element="metricconverter">
        <w:smartTagPr>
          <w:attr w:name="ProductID" w:val="0,5 г"/>
        </w:smartTagPr>
        <w:r w:rsidRPr="005A15CA">
          <w:rPr>
            <w:color w:val="000000"/>
            <w:sz w:val="28"/>
            <w:szCs w:val="28"/>
          </w:rPr>
          <w:t>0,5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года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0,025-</w:t>
      </w:r>
      <w:smartTag w:uri="urn:schemas-microsoft-com:office:smarttags" w:element="metricconverter">
        <w:smartTagPr>
          <w:attr w:name="ProductID" w:val="0,05 г"/>
        </w:smartTagPr>
        <w:r w:rsidRPr="005A15CA">
          <w:rPr>
            <w:color w:val="000000"/>
            <w:sz w:val="28"/>
            <w:szCs w:val="28"/>
          </w:rPr>
          <w:t>0,05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0,05 г"/>
        </w:smartTagPr>
        <w:r w:rsidRPr="005A15CA">
          <w:rPr>
            <w:color w:val="000000"/>
            <w:sz w:val="28"/>
            <w:szCs w:val="28"/>
          </w:rPr>
          <w:t>-0,05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лет-</w:t>
      </w:r>
      <w:smartTag w:uri="urn:schemas-microsoft-com:office:smarttags" w:element="metricconverter">
        <w:smartTagPr>
          <w:attr w:name="ProductID" w:val="0,1 г"/>
        </w:smartTagPr>
        <w:r w:rsidRPr="005A15CA">
          <w:rPr>
            <w:color w:val="000000"/>
            <w:sz w:val="28"/>
            <w:szCs w:val="28"/>
          </w:rPr>
          <w:t>0,1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5-6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лет-</w:t>
      </w:r>
      <w:smartTag w:uri="urn:schemas-microsoft-com:office:smarttags" w:element="metricconverter">
        <w:smartTagPr>
          <w:attr w:name="ProductID" w:val="0,15 г"/>
        </w:smartTagPr>
        <w:r w:rsidRPr="005A15CA">
          <w:rPr>
            <w:color w:val="000000"/>
            <w:sz w:val="28"/>
            <w:szCs w:val="28"/>
          </w:rPr>
          <w:t>0,15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7-9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 г"/>
        </w:smartTagPr>
        <w:r w:rsidRPr="005A15CA">
          <w:rPr>
            <w:color w:val="000000"/>
            <w:sz w:val="28"/>
            <w:szCs w:val="28"/>
          </w:rPr>
          <w:t>0,2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10-14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лет-0,25-</w:t>
      </w:r>
      <w:smartTag w:uri="urn:schemas-microsoft-com:office:smarttags" w:element="metricconverter">
        <w:smartTagPr>
          <w:attr w:name="ProductID" w:val="0,3 г"/>
        </w:smartTagPr>
        <w:r w:rsidRPr="005A15CA">
          <w:rPr>
            <w:color w:val="000000"/>
            <w:sz w:val="28"/>
            <w:szCs w:val="28"/>
          </w:rPr>
          <w:t>0,3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Побочное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Противопоказания.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Гастрит,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язвенная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двенадцатиперстной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кишки.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Порошок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0,25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5A15CA">
          <w:rPr>
            <w:color w:val="000000"/>
            <w:sz w:val="28"/>
            <w:szCs w:val="28"/>
          </w:rPr>
          <w:t>0,5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комбинированные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гидрокарбонатом.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хорошо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укупоренной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таре.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БЕНЗОАТ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(Natrii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benzoas)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Синонимы</w:t>
      </w:r>
      <w:r w:rsidRPr="005A15CA">
        <w:rPr>
          <w:color w:val="000000"/>
          <w:sz w:val="28"/>
          <w:szCs w:val="28"/>
        </w:rPr>
        <w:t>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бензойнокислый.</w:t>
      </w:r>
    </w:p>
    <w:p w:rsidR="00B310F8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(бронхиты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др.).</w:t>
      </w:r>
    </w:p>
    <w:p w:rsidR="00E53ED3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Применяют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порошках,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растворах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микстурах;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0,2—0,5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г,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года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0,03—0,05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г,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2—5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0,05—0,1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г,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5—6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5 г"/>
        </w:smartTagPr>
        <w:r w:rsidR="00E53ED3" w:rsidRPr="005A15CA">
          <w:rPr>
            <w:color w:val="000000"/>
            <w:sz w:val="28"/>
            <w:szCs w:val="28"/>
          </w:rPr>
          <w:t>0,15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="00E53ED3" w:rsidRPr="005A15CA">
          <w:rPr>
            <w:color w:val="000000"/>
            <w:sz w:val="28"/>
            <w:szCs w:val="28"/>
          </w:rPr>
          <w:t>г</w:t>
        </w:r>
      </w:smartTag>
      <w:r w:rsidR="00E53ED3"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7—9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 г"/>
        </w:smartTagPr>
        <w:r w:rsidR="00E53ED3" w:rsidRPr="005A15CA">
          <w:rPr>
            <w:color w:val="000000"/>
            <w:sz w:val="28"/>
            <w:szCs w:val="28"/>
          </w:rPr>
          <w:t>0,2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="00E53ED3" w:rsidRPr="005A15CA">
          <w:rPr>
            <w:color w:val="000000"/>
            <w:sz w:val="28"/>
            <w:szCs w:val="28"/>
          </w:rPr>
          <w:t>г</w:t>
        </w:r>
      </w:smartTag>
      <w:r w:rsidR="00E53ED3"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10—14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0,2—0,3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г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прием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3—4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E53ED3"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Побочное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выявлено.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Противопоказания.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установлены.</w:t>
      </w:r>
    </w:p>
    <w:p w:rsidR="0011201A" w:rsidRPr="005A15CA" w:rsidRDefault="00E53ED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порошках,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микстурах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бензоат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колдрекс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микстура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микстура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A15CA">
        <w:rPr>
          <w:color w:val="000000"/>
          <w:sz w:val="28"/>
          <w:szCs w:val="28"/>
        </w:rPr>
        <w:t>АНИСА</w:t>
      </w:r>
      <w:r w:rsidR="005A15CA" w:rsidRPr="005A15CA">
        <w:rPr>
          <w:color w:val="000000"/>
          <w:sz w:val="28"/>
          <w:szCs w:val="28"/>
          <w:lang w:val="en-US"/>
        </w:rPr>
        <w:t xml:space="preserve"> </w:t>
      </w:r>
      <w:r w:rsidRPr="005A15CA">
        <w:rPr>
          <w:color w:val="000000"/>
          <w:sz w:val="28"/>
          <w:szCs w:val="28"/>
        </w:rPr>
        <w:t>ПЛОДЫ</w:t>
      </w:r>
      <w:r w:rsidR="005A15CA" w:rsidRPr="005A15CA">
        <w:rPr>
          <w:color w:val="000000"/>
          <w:sz w:val="28"/>
          <w:szCs w:val="28"/>
          <w:lang w:val="en-US"/>
        </w:rPr>
        <w:t xml:space="preserve"> </w:t>
      </w:r>
      <w:r w:rsidRPr="005A15CA">
        <w:rPr>
          <w:color w:val="000000"/>
          <w:sz w:val="28"/>
          <w:szCs w:val="28"/>
          <w:lang w:val="en-US"/>
        </w:rPr>
        <w:t>(Fructus</w:t>
      </w:r>
      <w:r w:rsidR="005A15CA" w:rsidRPr="005A15CA">
        <w:rPr>
          <w:color w:val="000000"/>
          <w:sz w:val="28"/>
          <w:szCs w:val="28"/>
          <w:lang w:val="en-US"/>
        </w:rPr>
        <w:t xml:space="preserve"> </w:t>
      </w:r>
      <w:r w:rsidRPr="005A15CA">
        <w:rPr>
          <w:color w:val="000000"/>
          <w:sz w:val="28"/>
          <w:szCs w:val="28"/>
          <w:lang w:val="en-US"/>
        </w:rPr>
        <w:t>Anisi</w:t>
      </w:r>
      <w:r w:rsidR="005A15CA" w:rsidRPr="005A15CA">
        <w:rPr>
          <w:color w:val="000000"/>
          <w:sz w:val="28"/>
          <w:szCs w:val="28"/>
          <w:lang w:val="en-US"/>
        </w:rPr>
        <w:t xml:space="preserve"> </w:t>
      </w:r>
      <w:r w:rsidRPr="005A15CA">
        <w:rPr>
          <w:color w:val="000000"/>
          <w:sz w:val="28"/>
          <w:szCs w:val="28"/>
          <w:lang w:val="en-US"/>
        </w:rPr>
        <w:t>vulgaris)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Содержат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эфирное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(1-3%),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анетол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80%),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жирное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белковые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слабительное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(чайная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плодов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стакан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кипятка)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1/4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стакана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полчаса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еды.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Побочное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выявлено.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Противопоказания.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установлены.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г"/>
        </w:smartTagPr>
        <w:r w:rsidRPr="005A15CA">
          <w:rPr>
            <w:color w:val="000000"/>
            <w:sz w:val="28"/>
            <w:szCs w:val="28"/>
          </w:rPr>
          <w:t>50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КАПЛИ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НАШАТЫРНО-АНИСОВЫЕ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(Liquor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ammonii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anisatus)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качестве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особенно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10-15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капель,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года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1-2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капли,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капли,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капли,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5-6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5-6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капель,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7-9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7-9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капель,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10-14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10-12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капель.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флаконах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Состав: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81 г"/>
        </w:smartTagPr>
        <w:r w:rsidRPr="005A15CA">
          <w:rPr>
            <w:color w:val="000000"/>
            <w:sz w:val="28"/>
            <w:szCs w:val="28"/>
          </w:rPr>
          <w:t>2,81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анисового,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аммиака,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90%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спирта.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МАСЛО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АНИСОВОЕ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(Oleum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Anisi)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Содержит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около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80%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анетола,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анисальдегид,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анисовую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кислоту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другие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качестве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флаконах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Условия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E53ED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Ан</w:t>
      </w:r>
      <w:r w:rsidR="0011201A" w:rsidRPr="005A15CA">
        <w:rPr>
          <w:color w:val="000000"/>
          <w:sz w:val="28"/>
          <w:szCs w:val="28"/>
        </w:rPr>
        <w:t>иса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плод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входит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состав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препаратов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алталекс,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бронхикум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чай,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грудной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эликсир,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депурафлукс,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колдрекс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бронхе,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сбор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грудной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№3,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сухая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микстура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кашля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детей.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сухая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микстура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кашля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взрослых.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ГРУДНОЙ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ЭЛИКСИР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(Elixir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pectoralis)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Синонимы</w:t>
      </w:r>
      <w:r w:rsidRPr="005A15CA">
        <w:rPr>
          <w:color w:val="000000"/>
          <w:sz w:val="28"/>
          <w:szCs w:val="28"/>
        </w:rPr>
        <w:t>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Лакричный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эликсир.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качестве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20-40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капель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столько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капель,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сколько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ребенку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флаконах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г"/>
        </w:smartTagPr>
        <w:r w:rsidRPr="005A15CA">
          <w:rPr>
            <w:color w:val="000000"/>
            <w:sz w:val="28"/>
            <w:szCs w:val="28"/>
          </w:rPr>
          <w:t>25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солодкового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корня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густого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,7 г"/>
        </w:smartTagPr>
        <w:r w:rsidRPr="005A15CA">
          <w:rPr>
            <w:color w:val="000000"/>
            <w:sz w:val="28"/>
            <w:szCs w:val="28"/>
          </w:rPr>
          <w:t>20,7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эфирного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анисового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ректифицированного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4 г"/>
        </w:smartTagPr>
        <w:r w:rsidRPr="005A15CA">
          <w:rPr>
            <w:color w:val="000000"/>
            <w:sz w:val="28"/>
            <w:szCs w:val="28"/>
          </w:rPr>
          <w:t>0,34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аммиака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водного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44 г"/>
        </w:smartTagPr>
        <w:r w:rsidRPr="005A15CA">
          <w:rPr>
            <w:color w:val="000000"/>
            <w:sz w:val="28"/>
            <w:szCs w:val="28"/>
          </w:rPr>
          <w:t>3,44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спирта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этилового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ректифицированного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20,41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воды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дистиллированной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комнатной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температуре.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ЧАБРЕЦА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(Herba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Serpyui)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Синонимы</w:t>
      </w:r>
      <w:r w:rsidRPr="005A15CA">
        <w:rPr>
          <w:color w:val="000000"/>
          <w:sz w:val="28"/>
          <w:szCs w:val="28"/>
        </w:rPr>
        <w:t>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Богородская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эфирное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(0,5-1%),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цимол,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карвакрол,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тимол,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дубильные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качестве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бактерицидного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(уничтожающего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бактерии)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(воспалении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верхних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(10,0:200,0)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жидкого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чайной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Побочное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выявлено.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Противопоказания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установлены.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5A15CA">
          <w:rPr>
            <w:color w:val="000000"/>
            <w:sz w:val="28"/>
            <w:szCs w:val="28"/>
          </w:rPr>
          <w:t>100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жидкий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флаконах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ПЕРТУССИН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(Pertussinum)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смягчающее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кашель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другие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верхних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</w:t>
      </w:r>
      <w:r w:rsidR="004E4087" w:rsidRPr="005A15CA">
        <w:rPr>
          <w:color w:val="000000"/>
          <w:sz w:val="28"/>
          <w:szCs w:val="28"/>
        </w:rPr>
        <w:t>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4E4087" w:rsidRPr="005A15CA">
        <w:rPr>
          <w:color w:val="000000"/>
          <w:sz w:val="28"/>
          <w:szCs w:val="28"/>
        </w:rPr>
        <w:t>путей,</w:t>
      </w:r>
      <w:r w:rsidR="005A15CA" w:rsidRPr="005A15CA">
        <w:rPr>
          <w:color w:val="000000"/>
          <w:sz w:val="28"/>
          <w:szCs w:val="28"/>
        </w:rPr>
        <w:t xml:space="preserve"> </w:t>
      </w:r>
      <w:r w:rsidR="004E4087" w:rsidRPr="005A15CA">
        <w:rPr>
          <w:color w:val="000000"/>
          <w:sz w:val="28"/>
          <w:szCs w:val="28"/>
        </w:rPr>
        <w:t>сопровождающиеся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кашлем;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коклюш.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]/2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чайной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десертной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флаконах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5A15CA">
          <w:rPr>
            <w:color w:val="000000"/>
            <w:sz w:val="28"/>
            <w:szCs w:val="28"/>
          </w:rPr>
          <w:t>100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чабреца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тимиана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г"/>
        </w:smartTagPr>
        <w:r w:rsidRPr="005A15CA">
          <w:rPr>
            <w:color w:val="000000"/>
            <w:sz w:val="28"/>
            <w:szCs w:val="28"/>
          </w:rPr>
          <w:t>12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калия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бромида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5A15CA">
          <w:rPr>
            <w:color w:val="000000"/>
            <w:sz w:val="28"/>
            <w:szCs w:val="28"/>
          </w:rPr>
          <w:t>1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сиропа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сахарного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2 г"/>
        </w:smartTagPr>
        <w:r w:rsidRPr="005A15CA">
          <w:rPr>
            <w:color w:val="000000"/>
            <w:sz w:val="28"/>
            <w:szCs w:val="28"/>
          </w:rPr>
          <w:t>82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спирта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этилового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(80%)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Условия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хранения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Чабреца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входит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туссамаг,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витаон.</w:t>
      </w:r>
    </w:p>
    <w:p w:rsidR="0011201A" w:rsidRPr="005A15CA" w:rsidRDefault="00CF7240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201A" w:rsidRPr="005A15CA">
        <w:rPr>
          <w:color w:val="000000"/>
          <w:sz w:val="28"/>
          <w:szCs w:val="28"/>
        </w:rPr>
        <w:t>ТУССАМАГ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(Tussamagum)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Фармакологическое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жидкого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экстракта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тимьяна.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эфирное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тимол,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карвакол,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терпеновые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соединения,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дубильные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флавоноиды.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муколитическое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(разжижающее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Показания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к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применению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(воспаление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коклюш,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воспаление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верхних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Способ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применения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и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чайный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17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1-2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чайные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чайной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ложке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день.</w:t>
      </w:r>
    </w:p>
    <w:p w:rsidR="0011201A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Побочное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действие</w:t>
      </w:r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выявлено.</w:t>
      </w:r>
    </w:p>
    <w:p w:rsidR="004E4087" w:rsidRPr="005A15CA" w:rsidRDefault="004E4087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Противопоказан</w:t>
      </w:r>
      <w:r w:rsidR="0011201A" w:rsidRPr="005A15CA">
        <w:rPr>
          <w:i/>
          <w:color w:val="000000"/>
          <w:sz w:val="28"/>
          <w:szCs w:val="28"/>
        </w:rPr>
        <w:t>ия.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11201A" w:rsidRPr="005A15CA">
        <w:rPr>
          <w:color w:val="000000"/>
          <w:sz w:val="28"/>
          <w:szCs w:val="28"/>
        </w:rPr>
        <w:t>установлены.</w:t>
      </w:r>
    </w:p>
    <w:p w:rsidR="004F2281" w:rsidRPr="005A15CA" w:rsidRDefault="0011201A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i/>
          <w:color w:val="000000"/>
          <w:sz w:val="28"/>
          <w:szCs w:val="28"/>
        </w:rPr>
        <w:t>Форма</w:t>
      </w:r>
      <w:r w:rsidR="005A15CA" w:rsidRPr="005A15CA">
        <w:rPr>
          <w:i/>
          <w:color w:val="000000"/>
          <w:sz w:val="28"/>
          <w:szCs w:val="28"/>
        </w:rPr>
        <w:t xml:space="preserve"> </w:t>
      </w:r>
      <w:r w:rsidRPr="005A15CA">
        <w:rPr>
          <w:i/>
          <w:color w:val="000000"/>
          <w:sz w:val="28"/>
          <w:szCs w:val="28"/>
        </w:rPr>
        <w:t>выпуска.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Сироп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флаконах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5 г"/>
        </w:smartTagPr>
        <w:r w:rsidRPr="005A15CA">
          <w:rPr>
            <w:color w:val="000000"/>
            <w:sz w:val="28"/>
            <w:szCs w:val="28"/>
          </w:rPr>
          <w:t>175</w:t>
        </w:r>
        <w:r w:rsidR="005A15CA" w:rsidRPr="005A15CA">
          <w:rPr>
            <w:color w:val="000000"/>
            <w:sz w:val="28"/>
            <w:szCs w:val="28"/>
          </w:rPr>
          <w:t xml:space="preserve"> </w:t>
        </w:r>
        <w:r w:rsidRPr="005A15CA">
          <w:rPr>
            <w:color w:val="000000"/>
            <w:sz w:val="28"/>
            <w:szCs w:val="28"/>
          </w:rPr>
          <w:t>г</w:t>
        </w:r>
      </w:smartTag>
      <w:r w:rsidRPr="005A15CA">
        <w:rPr>
          <w:color w:val="000000"/>
          <w:sz w:val="28"/>
          <w:szCs w:val="28"/>
        </w:rPr>
        <w:t>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Условия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хранения.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прохладном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месте.</w:t>
      </w:r>
    </w:p>
    <w:p w:rsidR="00E53ED3" w:rsidRPr="005A15CA" w:rsidRDefault="00E53ED3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А</w:t>
      </w:r>
      <w:r w:rsidR="005A15CA" w:rsidRPr="005A15CA">
        <w:rPr>
          <w:b/>
          <w:color w:val="000000"/>
          <w:sz w:val="28"/>
          <w:szCs w:val="28"/>
        </w:rPr>
        <w:t>мброксол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Фармакодинамика</w:t>
      </w:r>
    </w:p>
    <w:p w:rsidR="005F6CC4" w:rsidRPr="005A15CA" w:rsidRDefault="004E4087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Амброксол</w:t>
      </w:r>
      <w:r w:rsidR="005F6CC4" w:rsidRPr="005A15CA">
        <w:rPr>
          <w:color w:val="000000"/>
          <w:sz w:val="28"/>
          <w:szCs w:val="28"/>
        </w:rPr>
        <w:t>(транс-4-[(</w:t>
      </w:r>
      <w:r w:rsidR="00503CF1">
        <w:rPr>
          <w:color w:val="000000"/>
          <w:sz w:val="28"/>
          <w:szCs w:val="28"/>
        </w:rPr>
        <w:t xml:space="preserve">2-амино-3,5дибромбензил)амино] </w:t>
      </w:r>
      <w:r w:rsidR="005F6CC4" w:rsidRPr="005A15CA">
        <w:rPr>
          <w:color w:val="000000"/>
          <w:sz w:val="28"/>
          <w:szCs w:val="28"/>
        </w:rPr>
        <w:t>циклогексанола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гидрохлорид)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относится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секретолитическим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секретомоторным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лекарственным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средствам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группы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бензиламинов.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Обладает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выраженным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отхаркивающим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эффектом.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Механизм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обусловлен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стимуляцией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серозных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желез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оболочки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бронхов,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повышением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продукции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слизистого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секрета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нормализацией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нарушенного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патологических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процессах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соотношения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серозного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слизистого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компонентов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мокроты.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этом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счет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активации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высвобождения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лизосомальных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гидролитических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ферментов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Кларка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снижается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вязкость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мокроты.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Амброксол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повышает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содержание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сурфактанта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легких,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обусловлено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усилением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образования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альвеолоцитах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торможением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распада.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повышает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двигательную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активность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ресничек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мерцательного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эпителия,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усиливая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мукоцилиарный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клиренс.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незначительной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степени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подавляет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кашель.</w:t>
      </w:r>
    </w:p>
    <w:p w:rsidR="005A15CA" w:rsidRDefault="005F6CC4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Амброксол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хорошо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проникает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плацентарный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барьер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внутриутробный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синтез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сурфактанта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плода,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позволяет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использовать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профилактики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респираторного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дистресс-синдрома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новорожденных.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гиперсекреции,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гиперреактивность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один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факторов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развития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атопической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эффективнее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предшественника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бромгексина,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нетоксичен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хорошо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переносится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больными.</w:t>
      </w:r>
    </w:p>
    <w:p w:rsidR="004F2281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Фармакокинетика</w:t>
      </w:r>
    </w:p>
    <w:p w:rsidR="005F6CC4" w:rsidRPr="005A15CA" w:rsidRDefault="005F6CC4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пероральном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быстро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полностью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абсорбируется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хорошо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проникает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легочную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ткань.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Степень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связывания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белками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плазмы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80%.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Проникает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ГЭБ,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плацентарный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барьер,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грудным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молоком.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Максимальная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концентрация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плазме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достигается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удерживается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10–12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ретард-формы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амброксола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сохраняется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9–10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Метаболизируется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образованием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дибромантраниловой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глюкуроновых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конъюгатов.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Период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полувыведения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(T1/2)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7-12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Выводится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мочой,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90%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водорастворимых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метаболитов,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неизмененном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5%.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T1/2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увеличивается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тяжелой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хронической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почечной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недостаточности,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изменяется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нарушении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Период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полувыведения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удлиняется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тяжелой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ХПН,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изменяется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нарушении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печени.</w:t>
      </w:r>
    </w:p>
    <w:p w:rsidR="004F2281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Показания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к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применению</w:t>
      </w:r>
    </w:p>
    <w:p w:rsidR="004F2281" w:rsidRPr="005A15CA" w:rsidRDefault="004E4087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О</w:t>
      </w:r>
      <w:r w:rsidR="005F6CC4" w:rsidRPr="005A15CA">
        <w:rPr>
          <w:color w:val="000000"/>
          <w:sz w:val="28"/>
          <w:szCs w:val="28"/>
        </w:rPr>
        <w:t>стрые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хронические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заболевания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путей,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сопровождающиеся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образованием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трудноотделяемого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вязкого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секрета,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острый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хронический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бронхит,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пневмония,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хроническая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обструктивная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болезнь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(ХОБЛ),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бронхиальная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астма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затрудненным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отхождением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мокроты,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бронхоэктатическая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болезнь.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можно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применять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муковисцидозе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легких,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синдроме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недостаточного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дыхания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взрослых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(шоковое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легкое),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профилактики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лечения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осложнений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операции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легких,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уходе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трахеостомой,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бронхоскопии.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Стимуляция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пренатального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созревания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легких,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профилактика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(при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угрозе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преждевременных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родов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показанных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искусственных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преждевременных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родах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период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между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28-й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34-й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неделей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беременности,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если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клиническая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картина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позволяет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предполагать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продление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срока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беременности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дня)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респираторного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дистресс-синдрома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недоношенных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детей.</w:t>
      </w:r>
    </w:p>
    <w:p w:rsidR="004E4087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Противопоказания</w:t>
      </w:r>
    </w:p>
    <w:p w:rsidR="004F2281" w:rsidRPr="005A15CA" w:rsidRDefault="004E4087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</w:t>
      </w:r>
      <w:r w:rsidR="005F6CC4" w:rsidRPr="005A15CA">
        <w:rPr>
          <w:color w:val="000000"/>
          <w:sz w:val="28"/>
          <w:szCs w:val="28"/>
        </w:rPr>
        <w:t>овышенная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чувствительность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амброксолу,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I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триместр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беременности,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период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кормления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грудью,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пептическая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язва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двенадцатиперстной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кишки,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судорожные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припадки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любой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этиологии,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возраст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12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лет.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Гиперчувствительность,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детский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возраст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беременность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(I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триместр).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осторожностью: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следует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осторожностью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пациентов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язвенной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двенадцатиперстной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кишки,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пациентов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почечной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печеночной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недостаточностью.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Применение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в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период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беременности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и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лактации:</w:t>
      </w:r>
    </w:p>
    <w:p w:rsidR="00CB6EA3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рекомендуется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I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триместра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беременности.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амброксола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II-III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триместрах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беременности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период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грудного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вскармливания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следует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оценить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потенциальную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пользу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матери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возможным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риском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плода/ребенка.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необходимости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назначения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период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кормления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грудью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следует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решить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вопрос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прекращении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грудного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вскармливания.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осторожностью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почечной,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печеночной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недостаточности.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Амброксол-ретард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влияет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способность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управлять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автотранспортными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средствами.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Способ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применения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и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дозы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(режим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дозирования)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Внутрь,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время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пищи,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небольшим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количеством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жидкости.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старше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дня,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затем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(половина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таблетки)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6-12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(половина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таблетки)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сутки.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Запивают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достаточным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количеством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5F6CC4" w:rsidRPr="005A15CA">
        <w:rPr>
          <w:color w:val="000000"/>
          <w:sz w:val="28"/>
          <w:szCs w:val="28"/>
        </w:rPr>
        <w:t>жидкости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рекомендуется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врачебного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4-5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дней.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Побочное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действие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Аллергические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реакции: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кожная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сыпь,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крапивница,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ангионевротический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отек,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отдельных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случаях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аллергический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контактный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дерматит,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анафилактический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шок.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Редко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слабость,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головная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диарея,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путях,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экзантемы,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ринорея,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запоры,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дизурия.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длительном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высоких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гастралгия,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тошнота,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рвота.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Передозировка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Симптомы: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тошнота,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диарея.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Лечение: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искусственная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промывание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1-2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жиросодержащих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продуктов.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Взаимодействие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с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другими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лекарственными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средствами</w:t>
      </w:r>
    </w:p>
    <w:p w:rsidR="00CF7240" w:rsidRDefault="00CF7240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EA3" w:rsidRPr="005A15CA" w:rsidRDefault="004E4087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Н</w:t>
      </w:r>
      <w:r w:rsidR="00CB6EA3" w:rsidRPr="005A15CA">
        <w:rPr>
          <w:color w:val="000000"/>
          <w:sz w:val="28"/>
          <w:szCs w:val="28"/>
        </w:rPr>
        <w:t>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следует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комбинировать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противокашлевыми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средствами,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затрудняющими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выведение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мокроты,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поскольку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сочетанное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применение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приводит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затруднению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отхождения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фоне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уменьшения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кашля.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Терапевтически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целесообразна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комбинация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амброксола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теофиллином,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возможно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применение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комбинации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сердечными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гликозидами,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диуретиками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CB6EA3" w:rsidRPr="005A15CA">
        <w:rPr>
          <w:color w:val="000000"/>
          <w:sz w:val="28"/>
          <w:szCs w:val="28"/>
        </w:rPr>
        <w:t>антибиотиками.</w:t>
      </w:r>
    </w:p>
    <w:p w:rsidR="004F2281" w:rsidRPr="005A15CA" w:rsidRDefault="00CB6EA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Амброксол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ампициллина,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амоксициллина,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цефуроксима,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эритромицина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доксициклина,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способствует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концентрации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легочной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ткани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секрете.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281" w:rsidRPr="005A15CA" w:rsidRDefault="00CF7240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F2281" w:rsidRPr="005A15CA">
        <w:rPr>
          <w:b/>
          <w:color w:val="000000"/>
          <w:sz w:val="28"/>
          <w:szCs w:val="28"/>
        </w:rPr>
        <w:t>Особые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="004F2281" w:rsidRPr="005A15CA">
        <w:rPr>
          <w:b/>
          <w:color w:val="000000"/>
          <w:sz w:val="28"/>
          <w:szCs w:val="28"/>
        </w:rPr>
        <w:t>указания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следует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комбинировать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лекарственными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затрудняющими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выведение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Форма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выпуска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Таблетки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контурной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ячейковой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упаковке.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контурных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ячейковых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упаковок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вместе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инструкцией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помещают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пачку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картона.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Условия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хранения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сухом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защищенном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недоступном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температуре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выше</w:t>
      </w:r>
      <w:r w:rsidR="005A15CA" w:rsidRPr="005A15C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°C"/>
        </w:smartTagPr>
        <w:r w:rsidRPr="005A15CA">
          <w:rPr>
            <w:color w:val="000000"/>
            <w:sz w:val="28"/>
            <w:szCs w:val="28"/>
          </w:rPr>
          <w:t>25°C</w:t>
        </w:r>
      </w:smartTag>
      <w:r w:rsidRPr="005A15CA">
        <w:rPr>
          <w:color w:val="000000"/>
          <w:sz w:val="28"/>
          <w:szCs w:val="28"/>
        </w:rPr>
        <w:t>.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Условия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отпуска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из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аптек</w:t>
      </w:r>
    </w:p>
    <w:p w:rsidR="004F2281" w:rsidRPr="005A15CA" w:rsidRDefault="004F2281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Отпускается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аптек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рецепта.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EA3" w:rsidRPr="005A15CA" w:rsidRDefault="004E4087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А</w:t>
      </w:r>
      <w:r w:rsidR="005A15CA" w:rsidRPr="005A15CA">
        <w:rPr>
          <w:b/>
          <w:color w:val="000000"/>
          <w:sz w:val="28"/>
          <w:szCs w:val="28"/>
        </w:rPr>
        <w:t>цетилцистеин</w:t>
      </w:r>
    </w:p>
    <w:p w:rsidR="004E4087" w:rsidRPr="005A15CA" w:rsidRDefault="004E4087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E4087" w:rsidRPr="005A15CA" w:rsidRDefault="004E4087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Фармакотерапевтическая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группа</w:t>
      </w:r>
      <w:r w:rsidRPr="005A15CA">
        <w:rPr>
          <w:color w:val="000000"/>
          <w:sz w:val="28"/>
          <w:szCs w:val="28"/>
        </w:rPr>
        <w:t>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муколитическое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Лекарственная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форма: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гранулы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приготовления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гранулы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приготовления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сиропа,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гранулы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приготовления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суспензии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внутривенного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введения,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внутримышечного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введения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внутрь.</w:t>
      </w:r>
    </w:p>
    <w:p w:rsidR="00FF2EF2" w:rsidRPr="005A15CA" w:rsidRDefault="00FF2EF2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Фармакодинамика:</w:t>
      </w:r>
    </w:p>
    <w:p w:rsidR="00FF2EF2" w:rsidRPr="005A15CA" w:rsidRDefault="00FF2EF2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Муколитическое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средство,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разжижает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мокроту,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увеличивает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объем,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облегчает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отделение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связано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способностью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свободных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сульфгидрильных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групп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разрывать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внутри-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межмолекулярные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дисульфидные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мукополисахаридов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приводит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деполимеризации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мукопротеинов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ряде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случаев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приводит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значительному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объема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требует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аспирации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содержимого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Сохраняет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гнойной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мокроте.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влияет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иммунитет.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профилактическом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отмечается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частоты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тяжести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обострений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пациентов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хроническим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муковисцидозом.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Защитный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механизм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основан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реактивных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сульфгидрильных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групп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связывать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химические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радикалы.</w:t>
      </w:r>
    </w:p>
    <w:p w:rsidR="00FF2EF2" w:rsidRPr="005A15CA" w:rsidRDefault="00FF2EF2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Увеличивает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секрецию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менее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сиаломуцинов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бокаловидными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клетками,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адгезию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бактерий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эпителиальных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клетках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Стимулирует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мукозные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клетки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которых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лизирует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фибрин.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Аналогичное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образующийся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воспалительных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ЛОР-органов.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Оказывает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антиоксидантное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обусловленное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наличием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SH-группы,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нейтрализовать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электрофильные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окислительные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токсины.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Предохраняет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альфа1-антитрипсин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(ингибитор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эластазы)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инактивирующего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HOCl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окислителя,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вырабатываемого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миелопероксидазой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фагоцитов.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Обладает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также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некоторым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противовоспалительным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счет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подавления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образования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свободных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радикалов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активных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кислородсодержащих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ответственных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развитие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воспаления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легочной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ткани).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Фармакокинетика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Быстро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практически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полностью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всасывается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ЖКТ.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Биодоступность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около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(из-за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высокого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«первого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прохождения»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печень).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Cmax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плазме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достигается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1–3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связывание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белками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плазмы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около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50%.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Проникает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плацентарный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барьер,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обнаруживается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околоплодной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жидкости.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T1/2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нарушении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увеличивается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8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Выводится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основном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почками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неактивных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метаболитов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(неорганические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сульфаты,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диацетилцистеин),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незначительная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выделяется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неизмененном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кишечником.</w:t>
      </w:r>
    </w:p>
    <w:p w:rsidR="00CB6EA3" w:rsidRPr="005A15CA" w:rsidRDefault="005A15CA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6EA3" w:rsidRPr="005A15CA">
        <w:rPr>
          <w:b/>
          <w:color w:val="000000"/>
          <w:sz w:val="28"/>
          <w:szCs w:val="28"/>
        </w:rPr>
        <w:t>Показания: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Нарушение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отхождения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трахеит,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бронхиолит,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пневмония,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бронхоэктатическая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муковисцидоз,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абсцесс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эмфизема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ларинготрахеит,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астма,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ателектаз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(вследствие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закупорки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пробкой).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Катаральный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гнойный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отит,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гайморит,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синусит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(облегчение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отхождения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Удаление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вязкого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посттравматических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послеоперационных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состояниях.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Подготовка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бронхоскопии,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бронхографии,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аспирационному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дренированию.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промывания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абсцессов,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носовых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ходов,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гайморовых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пазух,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среднего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уха;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обработки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свищей,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операционного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операциях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носа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сосцевидном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отростке.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Противопоказания: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Гиперчувствительность,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беременность,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период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лактации.C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осторожностью.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Язвенная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болезнь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12-перстной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кишки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фазе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обострения),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варикозное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расширение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пищевода,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кровохарканье,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легочное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кровотечение,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фенилкетонурия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форм,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содержащих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аспартам),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астма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в/в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введении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риск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развития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бронхоспазма),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надпочечников,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печеночная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и/или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почечная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недостаточность,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артериальная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гипертензия.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Побочные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действия: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Тошнота,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ощущение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переполнения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носовые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кровотечения,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крапивница,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шум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ушах,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сонливость,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лихорадка.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Редко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диспепсия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т.ч.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изжога).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аэрозольной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терапии: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рефлекторный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кашель,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раздражение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ринорея;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редко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стоматит.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в/м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введении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жжение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инъекции;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длительном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лечении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нарушение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функции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печени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и/или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почек.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Способ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применения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и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дозы</w:t>
      </w:r>
      <w:r w:rsidRPr="005A15CA">
        <w:rPr>
          <w:color w:val="000000"/>
          <w:sz w:val="28"/>
          <w:szCs w:val="28"/>
        </w:rPr>
        <w:t>: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Внутрь.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гранулята,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таблеток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капсул.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водорастворимого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гранулята;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младше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6-14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хронических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нескольких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недель: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400-600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мг/сут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1-2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2-14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день;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муковисцидозе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дней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старше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виде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водорастворимого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гранулята,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шипучей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таблетки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капсулах.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Ингаляционно.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аэрозольной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терапии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УЗ-приборах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распыляют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20%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приборах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распределительным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клапаном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мл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Продолжительность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ингаляции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15-20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мин;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кратность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2-4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лечении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острых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состояний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средняя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продолжительность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терапии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5-10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дней;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длительной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терапии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хронических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состояний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курс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лечения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случае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секретолитического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секрет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отсасывают,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частоту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ингаляций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суточную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уменьшают.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Интратрахеально.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промывания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дерева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лечебных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бронхоскопиях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используют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5-10%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Местно.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Закапывают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наружный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слуховой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проход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носовые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ходы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150-300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процедуру).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Парентерально.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Вводят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в/в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(предпочтительнее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капельно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медленно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струйно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мин)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в/м.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Взрослым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300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1-2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14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150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1-2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сутки.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возрасте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предпочтителен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пероральный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возрасте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года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в/в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введение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возможно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только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"жизненным"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показаниям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условиях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стационара.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случае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если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все-таки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имеются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показания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проведения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парентеральной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терапии,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дневная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возрасте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должна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составлять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мг/кг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массы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тела.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в/в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введения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дополнительно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разбавляют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0.9%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NaCl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5%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раствором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декстрозы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соотношении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1:1.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Длительность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терапии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определяется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индивидуально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10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дней).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старше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65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-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используют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минимально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эффективные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дозы.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Особые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указания:</w:t>
      </w:r>
    </w:p>
    <w:p w:rsidR="00CB6EA3" w:rsidRPr="005A15CA" w:rsidRDefault="00CB6EA3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лечении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сахарным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диабетом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учитывать,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что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грануляте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содержится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сахароза.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работе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пользоваться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стеклянной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посудой,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избегать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контакта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металлами,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резиной,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кислородом,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легкоокисляющимися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веществами.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неглубоком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в/м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введении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наличии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повышенной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чувствительности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появиться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быстро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проходящее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жжение,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рекомендуется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вводить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глубоко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мышцу.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бронхообструктивным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синдромом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сочетать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бронхолитиками.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Взаимодействие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с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другими</w:t>
      </w:r>
      <w:r w:rsidR="005A15CA" w:rsidRPr="005A15CA">
        <w:rPr>
          <w:b/>
          <w:color w:val="000000"/>
          <w:sz w:val="28"/>
          <w:szCs w:val="28"/>
        </w:rPr>
        <w:t xml:space="preserve"> </w:t>
      </w:r>
      <w:r w:rsidRPr="005A15CA">
        <w:rPr>
          <w:b/>
          <w:color w:val="000000"/>
          <w:sz w:val="28"/>
          <w:szCs w:val="28"/>
        </w:rPr>
        <w:t>ЛС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Нельзя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одновременно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противокашлевыми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из-за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опасности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застоя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мокроты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вследствие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подавления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кашлевого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рефлекса.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Одновременный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нитроглицерина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привести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усилению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последнего.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всасывание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пенициллинов,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цефалоспоринов,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тетрациклина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следует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принимать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ранее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2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после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внутрь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ацетилцистеина).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возможным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снижением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протромбинового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времени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фоне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назначения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больших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доз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необходимо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наблюдение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состоянием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системы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свертывания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крови.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изменять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результаты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теста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количественного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определения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салицилатов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(колориметрический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тест)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теста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количественного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определения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кетонов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(тест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нитропруссидом).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Передозировка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Симптомы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случайной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преднамеренной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передозировке):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тошнота,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изжога,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боли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желудке,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диарея.</w:t>
      </w:r>
    </w:p>
    <w:p w:rsidR="00CF0A4E" w:rsidRPr="005A15CA" w:rsidRDefault="00CF0A4E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До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настоящего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времени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имеется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данных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угрожающих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жизни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побочных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явлениях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отравлениях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ацетилцистеина.</w:t>
      </w:r>
    </w:p>
    <w:p w:rsidR="00FF2EF2" w:rsidRPr="005A15CA" w:rsidRDefault="00FF2EF2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</w:t>
      </w:r>
      <w:r w:rsidR="005A15CA" w:rsidRPr="005A15CA">
        <w:rPr>
          <w:b/>
          <w:color w:val="000000"/>
          <w:sz w:val="28"/>
          <w:szCs w:val="28"/>
        </w:rPr>
        <w:t>оказания к применению</w:t>
      </w:r>
    </w:p>
    <w:p w:rsidR="003C50D8" w:rsidRPr="005A15CA" w:rsidRDefault="00FF2EF2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Применяют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разных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типов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воспалительных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путей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легких,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сопровождающихся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сухим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кашлем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или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кашлем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вязкой,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трудно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отделяемой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мокротой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(бронхит,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пневмония,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бронхоэктазы,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бронхиальная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астма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др.).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заболеваниях,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протекающих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образованием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гнойной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мокроты,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муколитические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препараты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более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эффективны,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чем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О.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с.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другими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механизмами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действия.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Эффективность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повышается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обильном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потреблении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жидкости.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назначении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рефлекторного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имеет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значение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соблюдение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определенной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частоты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их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приема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(через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каждые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2—3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ч),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т.к.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отхаркивающий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эффект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препаратов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этой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группы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непродолжителен.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случае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необходимости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назначают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совместно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противокашлевыми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средствами,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заболеваниях,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сопровождающихся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повышением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тонуса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бронхов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(бронхиальной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астме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др.),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—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бронхорасширяющими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средствами.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воспалительных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заболеваниях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путей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отхаркивающие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применяют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на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фоне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антибактериальной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терапии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(антибиотиками,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сульфаниламидными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препаратами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="003C50D8" w:rsidRPr="005A15CA">
        <w:rPr>
          <w:color w:val="000000"/>
          <w:sz w:val="28"/>
          <w:szCs w:val="28"/>
        </w:rPr>
        <w:t>др.).</w:t>
      </w:r>
    </w:p>
    <w:p w:rsidR="00FF2EF2" w:rsidRPr="005A15CA" w:rsidRDefault="00FF2EF2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</w:t>
      </w:r>
      <w:r w:rsidR="005A15CA" w:rsidRPr="005A15CA">
        <w:rPr>
          <w:b/>
          <w:color w:val="000000"/>
          <w:sz w:val="28"/>
          <w:szCs w:val="28"/>
        </w:rPr>
        <w:t>обочные действия</w:t>
      </w:r>
    </w:p>
    <w:p w:rsidR="003C50D8" w:rsidRPr="005A15CA" w:rsidRDefault="003C50D8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Побочное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отхаркивающих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средств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групп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неодинаково.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Так,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отхаркивающие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рефлекторного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действия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апоморфин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качестве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побочных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главным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образом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тошноту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рвоту.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приеме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йода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могут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возникнуть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явления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йодизма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(насморк,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слезотечение,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гиперсаливация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др.),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признаки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гиперфункции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щитовидной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железы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другие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побочные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эффекты,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свойственные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йодидам.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Аммония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хлорид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повышает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диурез,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уменьшает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щелочные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резервы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длительном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компенсированный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ацидоз.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Натрия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гидрокарбонат,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напротив,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увеличивает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щелочные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резервы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крови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связи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этим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может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понижать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возбудимость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дыхательного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центра.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Муколитические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отхаркивающие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средства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из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числа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ферментов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ацетилцистеин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чаще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всего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вызывают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раздражение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оболочек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охриплость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голоса,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аллергические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реакции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могут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обострять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течение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бронхиальной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астмы.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Отхаркивающие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средства</w:t>
      </w:r>
      <w:r w:rsidRPr="005A15CA">
        <w:rPr>
          <w:color w:val="000000"/>
          <w:sz w:val="28"/>
          <w:szCs w:val="28"/>
        </w:rPr>
        <w:t>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раздражающие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слизистые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оболочки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(йодиды,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эфирные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масла,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ферментные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препараты),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могут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способствовать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обострению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некоторых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хронических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заболеваний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дыхательных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путей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и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легких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(например,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туберкулеза).</w:t>
      </w:r>
    </w:p>
    <w:p w:rsidR="00FF2EF2" w:rsidRPr="005A15CA" w:rsidRDefault="005A15CA" w:rsidP="005A1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A15CA">
        <w:rPr>
          <w:b/>
          <w:color w:val="000000"/>
          <w:sz w:val="28"/>
          <w:szCs w:val="28"/>
        </w:rPr>
        <w:t>Противопоказания</w:t>
      </w:r>
    </w:p>
    <w:p w:rsidR="003C50D8" w:rsidRPr="00A74466" w:rsidRDefault="003C50D8" w:rsidP="005A1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CA">
        <w:rPr>
          <w:color w:val="000000"/>
          <w:sz w:val="28"/>
          <w:szCs w:val="28"/>
        </w:rPr>
        <w:t>Противопоказания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к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применению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отхаркивающих</w:t>
      </w:r>
      <w:r w:rsidR="005A15CA" w:rsidRPr="005A15CA">
        <w:rPr>
          <w:color w:val="000000"/>
          <w:sz w:val="28"/>
          <w:szCs w:val="28"/>
        </w:rPr>
        <w:t xml:space="preserve"> </w:t>
      </w:r>
      <w:r w:rsidR="00FF2EF2" w:rsidRPr="005A15CA">
        <w:rPr>
          <w:color w:val="000000"/>
          <w:sz w:val="28"/>
          <w:szCs w:val="28"/>
        </w:rPr>
        <w:t>средств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различны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5A15CA">
        <w:rPr>
          <w:color w:val="000000"/>
          <w:sz w:val="28"/>
          <w:szCs w:val="28"/>
        </w:rPr>
        <w:t>для</w:t>
      </w:r>
      <w:r w:rsidR="005A15CA" w:rsidRPr="005A15CA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отдельных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групп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препаратов.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Общим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противопоказанием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являются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открытые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формы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туберкулеза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легких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и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другие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заболевания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со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склонностью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к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легочным</w:t>
      </w:r>
      <w:r w:rsidR="005A15CA" w:rsidRPr="00A74466">
        <w:rPr>
          <w:color w:val="000000"/>
          <w:sz w:val="28"/>
          <w:szCs w:val="28"/>
        </w:rPr>
        <w:t xml:space="preserve"> </w:t>
      </w:r>
      <w:r w:rsidRPr="00A74466">
        <w:rPr>
          <w:color w:val="000000"/>
          <w:sz w:val="28"/>
          <w:szCs w:val="28"/>
        </w:rPr>
        <w:t>кровотечениям.</w:t>
      </w:r>
    </w:p>
    <w:sectPr w:rsidR="003C50D8" w:rsidRPr="00A74466" w:rsidSect="005A15CA">
      <w:footerReference w:type="even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EFC" w:rsidRDefault="00F92EFC">
      <w:r>
        <w:separator/>
      </w:r>
    </w:p>
  </w:endnote>
  <w:endnote w:type="continuationSeparator" w:id="0">
    <w:p w:rsidR="00F92EFC" w:rsidRDefault="00F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001" w:rsidRDefault="00DE7001" w:rsidP="00C40A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001" w:rsidRDefault="00DE70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EFC" w:rsidRDefault="00F92EFC">
      <w:r>
        <w:separator/>
      </w:r>
    </w:p>
  </w:footnote>
  <w:footnote w:type="continuationSeparator" w:id="0">
    <w:p w:rsidR="00F92EFC" w:rsidRDefault="00F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FA"/>
    <w:rsid w:val="0011201A"/>
    <w:rsid w:val="003378FA"/>
    <w:rsid w:val="003A4BC0"/>
    <w:rsid w:val="003C50D8"/>
    <w:rsid w:val="004E4087"/>
    <w:rsid w:val="004F2281"/>
    <w:rsid w:val="00503CF1"/>
    <w:rsid w:val="005A15CA"/>
    <w:rsid w:val="005F6CC4"/>
    <w:rsid w:val="006505E1"/>
    <w:rsid w:val="00664905"/>
    <w:rsid w:val="00675F4D"/>
    <w:rsid w:val="0071095C"/>
    <w:rsid w:val="008B6EC6"/>
    <w:rsid w:val="008E4D08"/>
    <w:rsid w:val="00A74466"/>
    <w:rsid w:val="00B310F8"/>
    <w:rsid w:val="00B662BE"/>
    <w:rsid w:val="00B95603"/>
    <w:rsid w:val="00C40A95"/>
    <w:rsid w:val="00C973B9"/>
    <w:rsid w:val="00CB6EA3"/>
    <w:rsid w:val="00CF0A4E"/>
    <w:rsid w:val="00CF7240"/>
    <w:rsid w:val="00D456FB"/>
    <w:rsid w:val="00DE420B"/>
    <w:rsid w:val="00DE7001"/>
    <w:rsid w:val="00DF6E5E"/>
    <w:rsid w:val="00E53ED3"/>
    <w:rsid w:val="00F77FF8"/>
    <w:rsid w:val="00F92EFC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AF711-2F85-47CA-89F4-0CDF9834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FF2E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rsid w:val="00FF2EF2"/>
    <w:rPr>
      <w:rFonts w:cs="Times New Roman"/>
    </w:rPr>
  </w:style>
  <w:style w:type="paragraph" w:styleId="a6">
    <w:name w:val="header"/>
    <w:basedOn w:val="a"/>
    <w:link w:val="a7"/>
    <w:rsid w:val="005A15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5A15CA"/>
    <w:rPr>
      <w:rFonts w:cs="Times New Roman"/>
      <w:sz w:val="24"/>
      <w:szCs w:val="24"/>
    </w:rPr>
  </w:style>
  <w:style w:type="character" w:styleId="a8">
    <w:name w:val="Hyperlink"/>
    <w:basedOn w:val="a0"/>
    <w:rsid w:val="008E4D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6989</Words>
  <Characters>39841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физиологических условиях oбpaзование бронхиального секрета является одним из обязательных условий функционирования бронхиаль</vt:lpstr>
    </vt:vector>
  </TitlesOfParts>
  <Company>Microsoft</Company>
  <LinksUpToDate>false</LinksUpToDate>
  <CharactersWithSpaces>46737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физиологических условиях oбpaзование бронхиального секрета является одним из обязательных условий функционирования бронхиаль</dc:title>
  <dc:subject/>
  <dc:creator>Кулахметова Эллина</dc:creator>
  <cp:keywords/>
  <dc:description/>
  <cp:lastModifiedBy>Igor</cp:lastModifiedBy>
  <cp:revision>3</cp:revision>
  <dcterms:created xsi:type="dcterms:W3CDTF">2024-11-06T10:04:00Z</dcterms:created>
  <dcterms:modified xsi:type="dcterms:W3CDTF">2024-11-06T10:04:00Z</dcterms:modified>
</cp:coreProperties>
</file>