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D7D82">
      <w:pPr>
        <w:ind w:firstLine="567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Отравления тяжелыми металлами на производстве</w:t>
      </w:r>
    </w:p>
    <w:p w:rsidR="00000000" w:rsidRDefault="001D7D82">
      <w:pPr>
        <w:ind w:firstLine="567"/>
        <w:jc w:val="both"/>
      </w:pPr>
      <w:r>
        <w:t>Тяжелые металлы относятся к приоритетным загрязняющим веществам, наблюд</w:t>
      </w:r>
      <w:r>
        <w:t xml:space="preserve">ения за которыми обязательны во всех средах. </w:t>
      </w:r>
    </w:p>
    <w:p w:rsidR="00000000" w:rsidRDefault="001D7D82">
      <w:pPr>
        <w:ind w:firstLine="567"/>
        <w:jc w:val="both"/>
      </w:pPr>
      <w:r>
        <w:t xml:space="preserve">Термин тяжелые металлы, характеризующий широкую группу загрязняющих веществ, получил в последнее время значительное распространение. В различных научных и прикладных работах авторы по-разному трактуют значение </w:t>
      </w:r>
      <w:r>
        <w:t>этого понятия. В связи с этим количество элементов, относимых к группе тяжелых металлов, изменяется в широких пределах. В качестве критериев принадлежности используются многочисленные характеристики: атомная масса, плотность, токсичность, распространенност</w:t>
      </w:r>
      <w:r>
        <w:t xml:space="preserve">ь в природной среде, степень вовлеченности в природные и техногенные циклы. В некоторых случаях под определение тяжелых металлов попадают элементы, относящиеся к хрупким (например, висмут) или металлоидам (например, мышьяк). </w:t>
      </w:r>
    </w:p>
    <w:p w:rsidR="00000000" w:rsidRDefault="001D7D82">
      <w:pPr>
        <w:ind w:firstLine="567"/>
        <w:jc w:val="both"/>
      </w:pPr>
      <w:r>
        <w:t>В работах, посвященных проблем</w:t>
      </w:r>
      <w:r>
        <w:t xml:space="preserve">ам загрязнения окружающей природной среды и экологического мониторинга, на сегодняшний день к тяжелым металлам относят более 40 металлов периодической системы Д.И. Менделеева с атомной массой свыше 50 атомных единиц: V, Cr, Mn, Fe, Co, Ni, Cu, Zn, Mo, Cd, </w:t>
      </w:r>
      <w:r>
        <w:t>Sn, Hg, Pb, Bi и др. При этом немаловажную роль в категорировании тяжелых металлов играют следующие условия: их высокая токсичность для живых организмов в относительно низких концентрациях, а также способность к биоаккумуляции и биомагнификации. Практическ</w:t>
      </w:r>
      <w:r>
        <w:t>и все металлы, попадающие под это определение (за исключением свинца, ртути, кадмия и висмута, биологическая роль которых на настоящий момент не ясна), активно участвуют в биологических процессах, входят в состав многих ферментов. По классификации Н.Реймер</w:t>
      </w:r>
      <w:r>
        <w:t>са, тяжелыми следует считать металлы с плотностью более 8 г/см</w:t>
      </w:r>
      <w:r>
        <w:rPr>
          <w:vertAlign w:val="superscript"/>
        </w:rPr>
        <w:t>3</w:t>
      </w:r>
      <w:r>
        <w:t xml:space="preserve">. Таким образом, к тяжелым металлам относятся Pb, Cu, Zn, Ni, Cd, Co, Sb, Sn, Bi, Hg. </w:t>
      </w:r>
    </w:p>
    <w:p w:rsidR="00000000" w:rsidRDefault="001D7D82">
      <w:pPr>
        <w:ind w:firstLine="567"/>
        <w:jc w:val="both"/>
      </w:pPr>
      <w:r>
        <w:t>Формально определению тяжелые металлы соответствует большое количество элементов. Однако, по мнению исслед</w:t>
      </w:r>
      <w:r>
        <w:t>ователей, занятых практической деятельностью, связанной с организацией наблюдений за состоянием и загрязнением окружающей среды, соединения этих элементов далеко не равнозначны как загрязняющие вещества. Поэтому во многих работах происходит сужение рамок г</w:t>
      </w:r>
      <w:r>
        <w:t>руппы тяжелых металлов, в соответствии с критериями приоритетности, обусловленными направлением и спецификой работ. Так, в ставших уже классическими работах Ю.А. Израэля в перечне химических веществ, подлежащих определению в природных средах на фоновых ста</w:t>
      </w:r>
      <w:r>
        <w:t>нциях в биосферных заповедниках, в разделе тяжелые металлы поименованы Pb, Hg, Cd, As. С другой стороны, согласно решению Целевой группы по выбросам тяжелых металлов, работающей под эгидой Европейской Экономической Комиссии ООН и занимающейся сбором и анал</w:t>
      </w:r>
      <w:r>
        <w:t xml:space="preserve">изом информации о выбросах загрязняющих веществ в европейских странах, только Zn, As, Se и Sb были отнесены к тяжелым металлам. По определению Н. Реймерса отдельно от тяжелых металлов стоят благородные и редкие металлы, соответственно, остаются только Pb, </w:t>
      </w:r>
      <w:r>
        <w:t xml:space="preserve">Cu, Zn, Ni, Cd, Co, Sb, Sn, Bi, Hg. </w:t>
      </w:r>
    </w:p>
    <w:p w:rsidR="00000000" w:rsidRDefault="001D7D82">
      <w:pPr>
        <w:ind w:firstLine="567"/>
        <w:jc w:val="center"/>
        <w:rPr>
          <w:b/>
          <w:bCs/>
        </w:rPr>
      </w:pPr>
      <w:r>
        <w:rPr>
          <w:b/>
          <w:bCs/>
        </w:rPr>
        <w:t>СВИНЕЦ</w:t>
      </w:r>
    </w:p>
    <w:p w:rsidR="00000000" w:rsidRDefault="001D7D82">
      <w:pPr>
        <w:ind w:firstLine="567"/>
        <w:jc w:val="both"/>
      </w:pPr>
      <w:r>
        <w:rPr>
          <w:rStyle w:val="a5"/>
          <w:rFonts w:ascii="Times New Roman" w:hAnsi="Times New Roman" w:cs="Times New Roman"/>
          <w:sz w:val="24"/>
          <w:szCs w:val="24"/>
        </w:rPr>
        <w:t>В настоящее время свинец занимает первое место среди причин промышленных отравлений. Это вызвано широким применением его в различных отраслях промышленности. Воздействию свинца подвергаются рабочие, добывающие св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инцовую руду, на </w:t>
      </w:r>
      <w:r>
        <w:rPr>
          <w:rStyle w:val="a5"/>
          <w:rFonts w:ascii="Times New Roman" w:hAnsi="Times New Roman" w:cs="Times New Roman"/>
          <w:sz w:val="24"/>
          <w:szCs w:val="24"/>
        </w:rPr>
        <w:fldChar w:fldCharType="begin"/>
      </w:r>
      <w:r>
        <w:rPr>
          <w:rStyle w:val="a5"/>
          <w:rFonts w:ascii="Times New Roman" w:hAnsi="Times New Roman" w:cs="Times New Roman"/>
          <w:sz w:val="24"/>
          <w:szCs w:val="24"/>
        </w:rPr>
        <w:instrText>PRIVATE "TYPE=PICT;ALT="</w:instrText>
      </w:r>
      <w:r>
        <w:rPr>
          <w:rStyle w:val="a5"/>
          <w:rFonts w:ascii="Times New Roman" w:hAnsi="Times New Roman" w:cs="Times New Roman"/>
          <w:sz w:val="24"/>
          <w:szCs w:val="24"/>
        </w:rPr>
        <w:fldChar w:fldCharType="end"/>
      </w:r>
      <w:r>
        <w:rPr>
          <w:rStyle w:val="a5"/>
          <w:rFonts w:ascii="Times New Roman" w:hAnsi="Times New Roman" w:cs="Times New Roman"/>
          <w:sz w:val="24"/>
          <w:szCs w:val="24"/>
        </w:rPr>
        <w:t>свинцово-плавильных заводах, в производстве аккумуляторов, при пайке, в типографиях, при изготовлении хрустального стекла или керамических изделий, этилированного бензина, свинцовых красок и др. Загрязнение свинцо</w:t>
      </w:r>
      <w:r>
        <w:rPr>
          <w:rStyle w:val="a5"/>
          <w:rFonts w:ascii="Times New Roman" w:hAnsi="Times New Roman" w:cs="Times New Roman"/>
          <w:sz w:val="24"/>
          <w:szCs w:val="24"/>
        </w:rPr>
        <w:t>м атмосферного воздуха, почвы и воды в окресности таких производств, а также вблизи крупных автомобильных дорог создает угрозу поражения свинцом населения, проживающего в этих районах, и прежде всего детей, которые более чувствительны к воздействию тяжелых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 металлов.</w:t>
      </w:r>
    </w:p>
    <w:p w:rsidR="00000000" w:rsidRDefault="001D7D82">
      <w:pPr>
        <w:ind w:firstLine="567"/>
        <w:jc w:val="both"/>
      </w:pPr>
      <w:r>
        <w:rPr>
          <w:rStyle w:val="a5"/>
          <w:rFonts w:ascii="Times New Roman" w:hAnsi="Times New Roman" w:cs="Times New Roman"/>
          <w:sz w:val="24"/>
          <w:szCs w:val="24"/>
        </w:rPr>
        <w:lastRenderedPageBreak/>
        <w:t>С сожалением надо отметить, что в России отсутствует государственная политика по правовому, нормативному и экономическому регулированию влияния свинца на состояние окружающей среды и здоровье населения, по снижению выбросов (сбросов, отходов) св</w:t>
      </w:r>
      <w:r>
        <w:rPr>
          <w:rStyle w:val="a5"/>
          <w:rFonts w:ascii="Times New Roman" w:hAnsi="Times New Roman" w:cs="Times New Roman"/>
          <w:sz w:val="24"/>
          <w:szCs w:val="24"/>
        </w:rPr>
        <w:t>инца и его соединений в окружающую среду, полному прекращению производства свинецсодержащих бензинов.</w:t>
      </w:r>
    </w:p>
    <w:p w:rsidR="00000000" w:rsidRDefault="001D7D82">
      <w:pPr>
        <w:ind w:firstLine="567"/>
        <w:jc w:val="both"/>
      </w:pPr>
      <w:r>
        <w:rPr>
          <w:rStyle w:val="a5"/>
          <w:rFonts w:ascii="Times New Roman" w:hAnsi="Times New Roman" w:cs="Times New Roman"/>
          <w:sz w:val="24"/>
          <w:szCs w:val="24"/>
        </w:rPr>
        <w:t>Вследствие чрезвычайно неудовлетворительной просветительной работы по разъяснению населению степени опасности воздействия тяжелых металлов на организм чел</w:t>
      </w:r>
      <w:r>
        <w:rPr>
          <w:rStyle w:val="a5"/>
          <w:rFonts w:ascii="Times New Roman" w:hAnsi="Times New Roman" w:cs="Times New Roman"/>
          <w:sz w:val="24"/>
          <w:szCs w:val="24"/>
        </w:rPr>
        <w:t>овека, в России не снижается, а постепенно увеличивается численность контингентов, имеющих профессиональный контакт со свинцом. Случаи хронической свинцовой интоксикации зафиксированы в 14 отраслях промышленности России. Ведущими являются электротехническа</w:t>
      </w:r>
      <w:r>
        <w:rPr>
          <w:rStyle w:val="a5"/>
          <w:rFonts w:ascii="Times New Roman" w:hAnsi="Times New Roman" w:cs="Times New Roman"/>
          <w:sz w:val="24"/>
          <w:szCs w:val="24"/>
        </w:rPr>
        <w:t>я промышленность (производство аккумуляторов), приборостроение, полиграфия и цветная металлургия, в них интоксикация обусловлена превышением в 20 и более раз предельно допустимой концентрации (ПДК) свинца в воздухе рабочей зоны.</w:t>
      </w:r>
    </w:p>
    <w:p w:rsidR="00000000" w:rsidRDefault="001D7D82">
      <w:pPr>
        <w:ind w:firstLine="567"/>
        <w:jc w:val="both"/>
      </w:pPr>
    </w:p>
    <w:p w:rsidR="00000000" w:rsidRDefault="001D7D82">
      <w:pPr>
        <w:ind w:firstLine="567"/>
        <w:jc w:val="both"/>
      </w:pPr>
      <w:r>
        <w:t>Отравление свинцом (сатурн</w:t>
      </w:r>
      <w:r>
        <w:t>изм) – представляет собой пример наиболее частого заболевания, обусловленного воздействием окружающей среды. В большинстве случаев речь идет о поглощении малых доз и накопление их в организме, пока его концентрация не достигнет критического уровня необходи</w:t>
      </w:r>
      <w:r>
        <w:t xml:space="preserve">мого для доксического проявления. </w:t>
      </w:r>
    </w:p>
    <w:p w:rsidR="00000000" w:rsidRDefault="001D7D82">
      <w:pPr>
        <w:ind w:firstLine="567"/>
        <w:jc w:val="both"/>
      </w:pPr>
      <w:r>
        <w:t>Существует острая и хроническая форма болезни . Острая форма возникает при попадании значительных его доз через желудочно-кишечный тракт или при вдыхании паров свинца, или при распылении свинцовых красок. Хроническое отра</w:t>
      </w:r>
      <w:r>
        <w:t>вление наиболее часто возникает у детей, лижущих поверхность предметов, окрашенных свинцовой краской. Дети в отличие от взрослых гораздо легче абсорбируют свинец. Хроническое отравление может развиваться при использовании плохо обоженной керамической посуд</w:t>
      </w:r>
      <w:r>
        <w:t>ы, покрытой эмалью, содержащей свинец, при употреблении зараженной воды, особенно в старых домах, где канализационные трубы содержат свинец, при злоупотреблении алкоголем, изготовленным в перегонном аппарате, содержащим свинец. Проблема хронической интокси</w:t>
      </w:r>
      <w:r>
        <w:t xml:space="preserve">кации связана также с наличием паров свинца при применени тетраэтилсвинца при ожогах в качестве антишокового препарата. </w:t>
      </w:r>
    </w:p>
    <w:p w:rsidR="00000000" w:rsidRDefault="001D7D82">
      <w:pPr>
        <w:ind w:firstLine="567"/>
        <w:jc w:val="both"/>
      </w:pPr>
      <w:r>
        <w:t xml:space="preserve">Выбросы газа отравляют не только атмосферу, но ипочву, и воду, и продукты питания. Только в Северной Америке такие выбросы в атмосферу </w:t>
      </w:r>
      <w:r>
        <w:t>составляют 200 тыс. тон свинца ежегодно. Отравление атмосферы повсеместно и в среднем взрослый человек получает примерно от 150 до 400 мгр свинца и его концентрация в крови и в тканях составляет до 25 мгр/100 мл. Для возникновения клинических признаков бол</w:t>
      </w:r>
      <w:r>
        <w:t xml:space="preserve">езни необходимо около 80 мгр/100 мл. </w:t>
      </w:r>
    </w:p>
    <w:p w:rsidR="00000000" w:rsidRDefault="001D7D82">
      <w:pPr>
        <w:ind w:firstLine="567"/>
        <w:jc w:val="both"/>
      </w:pPr>
      <w:r>
        <w:t>Попадая оральным путем, свинец абсорбируется в кишечнике и достигает печени, откуда с желчью вновь попадает в 12-ти перстную кишку. Одна часть свинца реабсорбируется, другая удаляется с испражнениями. Если свинец попад</w:t>
      </w:r>
      <w:r>
        <w:t>ает через дыхательные пути, он быстро достигает кровотока и тогда его действие максимально. Из крови свинец экскретируется почками, часть его депонируется в костях. Свинец ингибирует действие многих энзимов, а также инкорпорацию железа в организме, в резул</w:t>
      </w:r>
      <w:r>
        <w:t xml:space="preserve">ьтате чего в моче резко увеличивается количество свободного протопорфирина. Его увеличение в моче является четким клиническим признаком сатурнизма . </w:t>
      </w:r>
    </w:p>
    <w:p w:rsidR="00000000" w:rsidRDefault="001D7D82">
      <w:pPr>
        <w:ind w:firstLine="567"/>
        <w:jc w:val="both"/>
      </w:pPr>
      <w:r>
        <w:t>Органами — мишенями при отравлении свинцом являются кроветворная и нервная системы, почки. Менее значитель</w:t>
      </w:r>
      <w:r>
        <w:t>ный ущерб сатурнизм наносит желудочно-кишечному тракту. Один из основных признаков болезни — анемия, возникающая в результате усиленного гемолиза. Эта анемия характеризуется “точечным крапом” эритроцитов в виде базофильных гранул, хорошо выявляемых при окр</w:t>
      </w:r>
      <w:r>
        <w:t xml:space="preserve">аске метиленовым синим. На уровне нервной системы отмечается поражение головного мозга и периферических нервов. Сатурнизм-обусловленная энцефалопатия чаще наблюдается у детей, реже- у взрослых. В </w:t>
      </w:r>
      <w:r>
        <w:lastRenderedPageBreak/>
        <w:t>головном мозге выражен диффузный отек серого и белого вещест</w:t>
      </w:r>
      <w:r>
        <w:t>ва в сочетании с дистрофическими изменениями кортикальных и ганглионарных нейронов, демиэлинизация белого вещества. В капиллярах и артериолах отмечается пролиферация эндотелиоцитов. Мозговые поражения клинически сопровождаются конвульсиями и бредом, иногда</w:t>
      </w:r>
      <w:r>
        <w:t xml:space="preserve"> приводят к сонливости и коме. Из периферических нервов чаще всего поражаются наиболее “активные” двигательные нервы мышц. Морфологически наблюдается их демиэлинизация с последующим повреждением осевых цилиндров. Тяжелее всего страдают мышцы – разгибатели </w:t>
      </w:r>
      <w:r>
        <w:t xml:space="preserve">кисти, которая приобретает вид “рогов оленя”. Паралич m. peroneus приводит к положению “согнутой ноги”. </w:t>
      </w:r>
    </w:p>
    <w:p w:rsidR="00000000" w:rsidRDefault="001D7D82">
      <w:pPr>
        <w:ind w:firstLine="567"/>
        <w:jc w:val="both"/>
      </w:pPr>
      <w:r>
        <w:t>Признаки, свидетельствующие о почечных нарушениях при сатурнизме, менеее очевидны, чем выше описанные. Обычно это проявляется в дисфункции, обусловленн</w:t>
      </w:r>
      <w:r>
        <w:t>ая повреждением проксимальных извитых канальцев почек в виде аминоацидурии, глликозурии и гиперфосфатурии, то есть в том, что составляет синдром Фанкони (Fanconi). Причина этой дисфункции пока еще не совсем ясна, но экспериментально на животных и в культур</w:t>
      </w:r>
      <w:r>
        <w:t>е ткани доказано, что соли свинца аккумулируются в митохондриях и нарушают митохондриальное дыхание. При хроническом сатурнизме характерно появление кислотоустойчивых внутриядерных включений в эпителиальных клетках проксимальных канальцах нефрона. Эти вклю</w:t>
      </w:r>
      <w:r>
        <w:t>чения содержат магний, кальций, свинец и протеины. Каково бы ни было их происхождение, выявление этих включений является важным морфологическим признаком сатурнизма. У некоторых больных может наблюдаться развитие хронического тубуло-интерстициального нефри</w:t>
      </w:r>
      <w:r>
        <w:t xml:space="preserve">та и хронической почечной недостаточности. </w:t>
      </w:r>
    </w:p>
    <w:p w:rsidR="00000000" w:rsidRDefault="001D7D82">
      <w:pPr>
        <w:ind w:firstLine="567"/>
        <w:jc w:val="both"/>
      </w:pPr>
      <w:r>
        <w:t>Для хронического сатурнизма характерно развитие хронического гингивита и появление в полости рта темной каемки на десне, так называемой, “свинцовой десны”. Аналогичные изменения выявляются при отравлении ртутью и</w:t>
      </w:r>
      <w:r>
        <w:t xml:space="preserve"> висмутом. Скопление свинца в эпифизарных концах трубчатых костей у детей, имеют характерный вид на рентгенограммах. </w:t>
      </w:r>
    </w:p>
    <w:p w:rsidR="00000000" w:rsidRDefault="001D7D82">
      <w:pPr>
        <w:ind w:firstLine="567"/>
        <w:jc w:val="both"/>
      </w:pPr>
      <w:r>
        <w:t xml:space="preserve">Интоксикация свинцом может быть, по большей части предупреждена, особенно у детей. Законы запрещают использовать краски на основе свинца, </w:t>
      </w:r>
      <w:r>
        <w:t xml:space="preserve">равно как и его присутствие в них. Соблюдение этих законов может хоть частично решить проблему этих “тихих эпидемий”. </w:t>
      </w:r>
    </w:p>
    <w:p w:rsidR="00000000" w:rsidRDefault="001D7D82">
      <w:pPr>
        <w:ind w:firstLine="567"/>
        <w:jc w:val="both"/>
      </w:pPr>
    </w:p>
    <w:p w:rsidR="00000000" w:rsidRDefault="00AB1AA6">
      <w:pPr>
        <w:spacing w:before="0" w:after="0"/>
        <w:ind w:firstLine="567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37147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7D82">
        <w:t xml:space="preserve">              </w:t>
      </w:r>
    </w:p>
    <w:p w:rsidR="00000000" w:rsidRDefault="001D7D82">
      <w:pPr>
        <w:spacing w:before="0" w:after="0"/>
        <w:ind w:firstLine="567"/>
        <w:jc w:val="both"/>
      </w:pPr>
    </w:p>
    <w:p w:rsidR="00000000" w:rsidRDefault="001D7D82">
      <w:pPr>
        <w:ind w:firstLine="567"/>
        <w:jc w:val="both"/>
      </w:pPr>
    </w:p>
    <w:p w:rsidR="00000000" w:rsidRDefault="001D7D82">
      <w:pPr>
        <w:ind w:firstLine="567"/>
        <w:jc w:val="center"/>
        <w:rPr>
          <w:b/>
          <w:bCs/>
        </w:rPr>
      </w:pPr>
      <w:r>
        <w:rPr>
          <w:b/>
          <w:bCs/>
        </w:rPr>
        <w:t>РТУТЬ</w:t>
      </w:r>
    </w:p>
    <w:p w:rsidR="00000000" w:rsidRDefault="001D7D82">
      <w:pPr>
        <w:ind w:firstLine="567"/>
        <w:jc w:val="both"/>
      </w:pPr>
      <w:r>
        <w:t xml:space="preserve">Отравление ртутью, основные его проявления в качестве профессиональной болезни, </w:t>
      </w:r>
      <w:r>
        <w:t>описанные Льюисом Кэроллом как “безумие шляпника” и до настоящего времени остаются классическими. Раньше этот металл иногда применялся для серебрения зеркал и производства фетровых шляп. У рабочих часто наблюдались психические нарушения токсического характ</w:t>
      </w:r>
      <w:r>
        <w:t>ера, называвшиеся “безумием”. Хлористая ртуть когда-то “популярная” среди самоубийц до сих пор используется в фотогравюрах. Она также применяется в некоторых инсектицидах и фугицидах, что представляет опасность для жилых помещений. В наши дни отравления рт</w:t>
      </w:r>
      <w:r>
        <w:t>утью редки, но тем не менее эта проблема заслуживает внимания. Несколько лет тому назад в г. Минимата (Японии) была зарегистрирована эпидемия отравления ртутью. Ртуть была обнаружена в консервированном тунце, который в качестве пищи употребляли жертвы этог</w:t>
      </w:r>
      <w:r>
        <w:t xml:space="preserve">о отравления. Выяснилось, что один из заводов сбрасывал в Японское море отходы ртути как раз в том районе откуда появились отравленные люди. Поскольку ртуть использовалась в краске для судов, ее и раннее постоянно обнаруживали в мировом Океане в небольших </w:t>
      </w:r>
      <w:r>
        <w:t>количествах. Однако японская трагедия позволила привлечь внимание общественности к этой проблеме. Маленькие дозы, которые и сейчас обнаруживаются в рыбе, в расчет не принимались, так как в маленьких концентрациях ртуть не аккумулируется. Она выделяется чер</w:t>
      </w:r>
      <w:r>
        <w:t xml:space="preserve">ез почки, толстую кишку, желчь, пот и слюну. Между тем ежедневное поступление этих доз может иметь токсические последствия. </w:t>
      </w:r>
    </w:p>
    <w:p w:rsidR="00000000" w:rsidRDefault="001D7D82">
      <w:pPr>
        <w:ind w:firstLine="567"/>
        <w:jc w:val="both"/>
      </w:pPr>
      <w:r>
        <w:t>Производные ртути способны инактивировать энзиы, в частности цитохромоксидазу, принимающую участие в клеточном дыхании. Кроме того,</w:t>
      </w:r>
      <w:r>
        <w:t xml:space="preserve"> ртуть может соединяться с сульфгидрильными и фосфатными группами и, таким образом, повреждать клеточные мембраны. Соединения ртути более токсичны, чем сама ртуть. Морфологические изменения при отравлении ртутью наблюдаются там, где наиболее высокая концен</w:t>
      </w:r>
      <w:r>
        <w:t xml:space="preserve">трация металла, то есть в полости рта, в желудке, почках и толстой кишке. Кроме того может страдать и нервная система. </w:t>
      </w:r>
    </w:p>
    <w:p w:rsidR="00000000" w:rsidRDefault="001D7D82">
      <w:pPr>
        <w:ind w:firstLine="567"/>
        <w:jc w:val="both"/>
      </w:pPr>
      <w:r>
        <w:t>Острая интоксикация ртутью. Она возникает при массивном поступлении ртути или ее соединений в организм. Пути поступления: желудочно-кише</w:t>
      </w:r>
      <w:r>
        <w:t xml:space="preserve">чный тракт, дыхательные пути, кожа. Морфологически она может виде массивных некрозов в желудке, толстой кишке, а также острого тубулярного некроза почек. В головном мозге никаких характерных повреждений не отмечается. Резко выражен отек. </w:t>
      </w:r>
    </w:p>
    <w:p w:rsidR="00000000" w:rsidRDefault="001D7D82">
      <w:pPr>
        <w:ind w:firstLine="567"/>
        <w:jc w:val="both"/>
      </w:pPr>
      <w:r>
        <w:t>Хроническая инток</w:t>
      </w:r>
      <w:r>
        <w:t>сикация ртутью. Хроническая интоксикация ртутью сопровождается более характерными изменениями. В ротовой полости из-за выделения ртути усиленно функционирующими слюнными железами возникает обильное слюноотделение. Ртуть скапливается по краям десен и вызыва</w:t>
      </w:r>
      <w:r>
        <w:t xml:space="preserve">ет гингивит и окраску десен, похожую на “свинцовую каемку”. Могут расшатываться зубы. Часто возникает хронический гастрит, который сопровождается изъязвлениями слизистой. Поражение почек характеризуется диффузным утолщением базальной мембраны клубочкового </w:t>
      </w:r>
      <w:r>
        <w:t>аппарата, протеинурией, а иногда развитием нефротического синдрома. В эпителии извитых канальцев развивается гиалиново-капельная дистрофия. В коре головного мозга, преимущественно затылочных долей и в области задних рогов боковых желудочков, выявляются дис</w:t>
      </w:r>
      <w:r>
        <w:t xml:space="preserve">семинированные очаги атрофии. </w:t>
      </w:r>
    </w:p>
    <w:p w:rsidR="00000000" w:rsidRDefault="001D7D82">
      <w:pPr>
        <w:ind w:firstLine="567"/>
        <w:jc w:val="both"/>
      </w:pPr>
      <w:r>
        <w:t>Прежде чем закончить разговор о ртути, следует уточнить, что металлическая ртуть, находящаяся, например, в термометрах, сама по себе редко бывает опасной. Лишь ее испарение и вдыхание паров ртути могут привести к развитию фиб</w:t>
      </w:r>
      <w:r>
        <w:t xml:space="preserve">роза легких. Более того, жидкий металл раньше использовался для лечения упорных запоров, так как его плотность и законы тяжести способствовали мощному терапевтическому эффекту. При этом признаков ртутной интоксикации не наблюдалось. </w:t>
      </w:r>
    </w:p>
    <w:p w:rsidR="00000000" w:rsidRDefault="001D7D82">
      <w:pPr>
        <w:ind w:firstLine="567"/>
        <w:jc w:val="both"/>
      </w:pPr>
    </w:p>
    <w:p w:rsidR="00000000" w:rsidRDefault="001D7D82">
      <w:pPr>
        <w:ind w:firstLine="567"/>
        <w:jc w:val="center"/>
        <w:rPr>
          <w:b/>
          <w:bCs/>
        </w:rPr>
      </w:pPr>
      <w:r>
        <w:rPr>
          <w:b/>
          <w:bCs/>
        </w:rPr>
        <w:t>МЫШЬЯК</w:t>
      </w:r>
    </w:p>
    <w:p w:rsidR="00000000" w:rsidRDefault="001D7D82">
      <w:pPr>
        <w:ind w:firstLine="567"/>
        <w:jc w:val="both"/>
      </w:pPr>
      <w:r>
        <w:t xml:space="preserve">Арсенизм, или </w:t>
      </w:r>
      <w:r>
        <w:t xml:space="preserve">отравление мышьяком, столь распространенное и любимое в эпоху средневековья, к счастью в наше время – очень редкая болезнь. </w:t>
      </w:r>
    </w:p>
    <w:p w:rsidR="00000000" w:rsidRDefault="001D7D82">
      <w:pPr>
        <w:ind w:firstLine="567"/>
        <w:jc w:val="both"/>
      </w:pPr>
      <w:r>
        <w:t>Соли, оксилы и пары мышьяка чрезвычайно опасны. Препараты на основе мышьяка используются в качестве гербицидов для опрыскивания фру</w:t>
      </w:r>
      <w:r>
        <w:t xml:space="preserve">ктов, в качестве инсектицидов, яда для крыс и во многих промышленных процессах. Различают острый и хронический арсенизм . </w:t>
      </w:r>
    </w:p>
    <w:p w:rsidR="00000000" w:rsidRDefault="001D7D82">
      <w:pPr>
        <w:ind w:firstLine="567"/>
        <w:jc w:val="both"/>
      </w:pPr>
      <w:r>
        <w:t>Острое отравление, обычно, наблюдаемое при суициде или гомициде, редко, но хроническое отравление из-за продолжительного контакта с м</w:t>
      </w:r>
      <w:r>
        <w:t xml:space="preserve">ышьяковой пылью, парами как в промышленности, так и в сельском хозяйстве является нередко причиной смерти и в наши дни. </w:t>
      </w:r>
    </w:p>
    <w:p w:rsidR="00000000" w:rsidRDefault="001D7D82">
      <w:pPr>
        <w:ind w:firstLine="567"/>
        <w:jc w:val="both"/>
      </w:pPr>
      <w:r>
        <w:t>Механизм воздействия на клетку еще полностью неясен. Однако известно, что мышьяк соединяется с сульфгидрильными группами (SH – группами</w:t>
      </w:r>
      <w:r>
        <w:t xml:space="preserve">). Вот почему при хронической интоксикации мышьяк скапливается в волосах, ногтях, эпидермисе и может там обнаруживаться. Возможно, что мышьяк может инактивировать энзимы, содержащие SH – группы и, таким образом, являться ингибитором дыхательных ферментов. </w:t>
      </w:r>
    </w:p>
    <w:p w:rsidR="00000000" w:rsidRDefault="001D7D82">
      <w:pPr>
        <w:ind w:firstLine="567"/>
        <w:jc w:val="both"/>
      </w:pPr>
      <w:r>
        <w:t>Проявления арсенизма зависят от дозы. Довольно маленькая доза в 30 мгр триоксида мышьяка может быть смертельной. Значительные дозы этого сильнейшего яда могут убить в течение 1-2 часов, вызывая обычно выраженную периферическую вазодиллятацию, резкое умень</w:t>
      </w:r>
      <w:r>
        <w:t>шение объема циркулирующей крови и шок. Предполагают, что мышьяк действует как депрессор центральной нервной системы и ведет к параличу вазомоторных центров. Если отравление менее значительно, то после первых суток основные морфологические изменения обнару</w:t>
      </w:r>
      <w:r>
        <w:t>живаются в сосудах, в головном мозге, пищеварительном тракте и коже. Множественные петехии выявляются на коже и в серозной оболочках внутренних органов, что связано с деструкцией базальной мембраны капилляров. Если больной пережил два или три дня, в желудк</w:t>
      </w:r>
      <w:r>
        <w:t>е и в кишечнике можно наблюдать выраженное полнокровие, отек, участки геморрагии и очаги коагуляционного некроза. В головном мозге выявляется диффузная геморрагическая инфильтрация, обусловленная фибриноидным некрозом стенок капилляров, отек. В сосудах мик</w:t>
      </w:r>
      <w:r>
        <w:t xml:space="preserve">роциркуляторного русла формируются тромбы, которые могут быть причиной инфарктов мозга. </w:t>
      </w:r>
    </w:p>
    <w:p w:rsidR="00000000" w:rsidRDefault="001D7D82">
      <w:pPr>
        <w:ind w:firstLine="567"/>
        <w:jc w:val="both"/>
      </w:pPr>
      <w:r>
        <w:t>Если больной пережил 4-5 дней, в паренхиматозных органах, таких как почки, печень и сердце выявляется жировая дистрофия. У этих больных быстро развивается кардиоваскул</w:t>
      </w:r>
      <w:r>
        <w:t xml:space="preserve">ярный коллапс, депрессия ЦНС, приводящие к коме и смерти через несколько часов. При подостром течении болезни наблюдается рвота, бесконечный профузный понос. </w:t>
      </w:r>
    </w:p>
    <w:p w:rsidR="00000000" w:rsidRDefault="001D7D82">
      <w:pPr>
        <w:ind w:firstLine="567"/>
        <w:jc w:val="both"/>
      </w:pPr>
      <w:r>
        <w:t>Клинически для хронического отравления мышьяком характерно быстро развивающиеся недоиагание и мыш</w:t>
      </w:r>
      <w:r>
        <w:t>ечная слабость. Затем появляются анемение и периферические параличи. Нередко первичный диагноз связан с появлением кожных пигментных пятен, характерных для хронической интоксикации. Если установлен источник отравления и он вовремя обезврежен, то прогноз бл</w:t>
      </w:r>
      <w:r>
        <w:t>агоприятен при условии адекватно проведенного лечения. При хроническом течении заболевания основные повреждения локализуются в пищеварительном тракте, нервной системе и коже. Они немного напоминают таковые при острой форме отравления, но менее тяжелые. Пет</w:t>
      </w:r>
      <w:r>
        <w:t>ехии на коже не столь многочисленны и менее выражены. В желудке и тонкой кишке имеют место полнокровие, отек и мелкие эррозии. Повреждения головного мозга редки. Больше страдают периферические нервы, в которых резко выражены явления демиэлинизации вплоть д</w:t>
      </w:r>
      <w:r>
        <w:t>о деструкции осевых цилиндров. Характерны темно-коричневые пигментации в виде изолированных или сливающихся пятен на коже. На ладонях и стопах развивается гиперкератоз. В этих участках часто возникают эпидермоидные карциномы. В почках и в печени морфологич</w:t>
      </w:r>
      <w:r>
        <w:t xml:space="preserve">еские изменения сходные с теми, что наблюдаются при остром отравлении. В настоящее время внимание ученых привлекли случаи развития рака легких и ангиосарком печени, которые развиваются у виноградарей, имеющих контакт с пестицидами, содержащими мышьяк. </w:t>
      </w:r>
    </w:p>
    <w:p w:rsidR="00000000" w:rsidRDefault="001D7D82">
      <w:pPr>
        <w:ind w:firstLine="567"/>
        <w:jc w:val="center"/>
        <w:rPr>
          <w:b/>
          <w:bCs/>
        </w:rPr>
      </w:pPr>
      <w:r>
        <w:rPr>
          <w:b/>
          <w:bCs/>
        </w:rPr>
        <w:t>Исп</w:t>
      </w:r>
      <w:r>
        <w:rPr>
          <w:b/>
          <w:bCs/>
        </w:rPr>
        <w:t>ользованная литература:</w:t>
      </w:r>
    </w:p>
    <w:p w:rsidR="00000000" w:rsidRDefault="001D7D82">
      <w:pPr>
        <w:numPr>
          <w:ilvl w:val="0"/>
          <w:numId w:val="3"/>
        </w:numPr>
        <w:ind w:firstLine="567"/>
        <w:jc w:val="both"/>
      </w:pPr>
      <w:r>
        <w:t>Руководство по профессиональным заболеваниям, под ред. Н.Ф. Измерова, Моосква, “Медицина”, 1983.</w:t>
      </w:r>
    </w:p>
    <w:p w:rsidR="00000000" w:rsidRDefault="001D7D82">
      <w:pPr>
        <w:numPr>
          <w:ilvl w:val="0"/>
          <w:numId w:val="3"/>
        </w:numPr>
        <w:ind w:firstLine="567"/>
        <w:jc w:val="both"/>
      </w:pPr>
      <w:r>
        <w:t xml:space="preserve">Вигдорчик Н.А., Профессиональная патология: Руководство для врачей и студентов, </w:t>
      </w:r>
      <w:r>
        <w:rPr>
          <w:lang w:val="en-US"/>
        </w:rPr>
        <w:t xml:space="preserve">M. – </w:t>
      </w:r>
      <w:r>
        <w:t>Л., 1930.</w:t>
      </w:r>
    </w:p>
    <w:p w:rsidR="00000000" w:rsidRDefault="001D7D82">
      <w:pPr>
        <w:ind w:firstLine="567"/>
        <w:jc w:val="both"/>
      </w:pPr>
    </w:p>
    <w:p w:rsidR="001D7D82" w:rsidRDefault="001D7D82">
      <w:pPr>
        <w:spacing w:before="0" w:after="0"/>
        <w:ind w:firstLine="567"/>
        <w:jc w:val="both"/>
      </w:pPr>
    </w:p>
    <w:sectPr w:rsidR="001D7D82">
      <w:pgSz w:w="11906" w:h="16838"/>
      <w:pgMar w:top="1134" w:right="1134" w:bottom="1134" w:left="1134" w:header="1440" w:footer="144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6235681D"/>
    <w:multiLevelType w:val="singleLevel"/>
    <w:tmpl w:val="ED080EB8"/>
    <w:lvl w:ilvl="0">
      <w:start w:val="1"/>
      <w:numFmt w:val="decimal"/>
      <w:lvlText w:val="%1)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2" w15:restartNumberingAfterBreak="0">
    <w:nsid w:val="727E2F5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AA6"/>
    <w:rsid w:val="001D7D82"/>
    <w:rsid w:val="00AB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442EF12-B57B-4AFB-A22F-F65523E8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autoSpaceDE w:val="0"/>
      <w:autoSpaceDN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character" w:styleId="a4">
    <w:name w:val="Hyperlink"/>
    <w:basedOn w:val="a3"/>
    <w:uiPriority w:val="99"/>
    <w:rPr>
      <w:color w:val="0000FF"/>
      <w:u w:val="single"/>
    </w:rPr>
  </w:style>
  <w:style w:type="character" w:customStyle="1" w:styleId="a5">
    <w:name w:val="Печатная машинка"/>
    <w:uiPriority w:val="99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2605</Words>
  <Characters>14850</Characters>
  <Application>Microsoft Office Word</Application>
  <DocSecurity>0</DocSecurity>
  <Lines>123</Lines>
  <Paragraphs>34</Paragraphs>
  <ScaleCrop>false</ScaleCrop>
  <Company> </Company>
  <LinksUpToDate>false</LinksUpToDate>
  <CharactersWithSpaces>17421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Тяжелые металлы относятся к приоритетным загрязняющим веществам, наблюдения за которыми обязательны во всех средах</dc:title>
  <dc:subject/>
  <dc:creator>АПЧИК</dc:creator>
  <cp:keywords/>
  <dc:description/>
  <cp:lastModifiedBy>Igor Trofimov</cp:lastModifiedBy>
  <cp:revision>2</cp:revision>
  <dcterms:created xsi:type="dcterms:W3CDTF">2024-10-06T22:17:00Z</dcterms:created>
  <dcterms:modified xsi:type="dcterms:W3CDTF">2024-10-06T22:17:00Z</dcterms:modified>
</cp:coreProperties>
</file>