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56" w:rsidRDefault="005D5656" w:rsidP="005D565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041A">
        <w:rPr>
          <w:b/>
          <w:bCs/>
          <w:sz w:val="32"/>
          <w:szCs w:val="32"/>
        </w:rPr>
        <w:t xml:space="preserve">Парентеральные гепатиты, вирусные гепатиты </w:t>
      </w:r>
    </w:p>
    <w:p w:rsidR="005D5656" w:rsidRPr="005D5656" w:rsidRDefault="005D5656" w:rsidP="005D5656">
      <w:pPr>
        <w:spacing w:before="120"/>
        <w:jc w:val="center"/>
        <w:rPr>
          <w:sz w:val="28"/>
          <w:szCs w:val="28"/>
        </w:rPr>
      </w:pPr>
      <w:r w:rsidRPr="005D5656">
        <w:rPr>
          <w:sz w:val="28"/>
          <w:szCs w:val="28"/>
        </w:rPr>
        <w:t>Валерий Раповец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8"/>
        <w:gridCol w:w="5210"/>
      </w:tblGrid>
      <w:tr w:rsidR="005D5656" w:rsidRPr="0012430B" w:rsidTr="00FC6673">
        <w:trPr>
          <w:tblCellSpacing w:w="15" w:type="dxa"/>
        </w:trPr>
        <w:tc>
          <w:tcPr>
            <w:tcW w:w="2274" w:type="pct"/>
            <w:vAlign w:val="center"/>
          </w:tcPr>
          <w:p w:rsidR="005D5656" w:rsidRPr="0012430B" w:rsidRDefault="005D5656" w:rsidP="00FC6673">
            <w:r w:rsidRPr="0012430B">
              <w:t>Энтеральные</w:t>
            </w:r>
          </w:p>
          <w:p w:rsidR="005D5656" w:rsidRPr="0012430B" w:rsidRDefault="005D5656" w:rsidP="00FC6673">
            <w:r w:rsidRPr="0012430B">
              <w:t>(кишечные)</w:t>
            </w:r>
          </w:p>
        </w:tc>
        <w:tc>
          <w:tcPr>
            <w:tcW w:w="2680" w:type="pct"/>
            <w:vAlign w:val="center"/>
          </w:tcPr>
          <w:p w:rsidR="005D5656" w:rsidRPr="0012430B" w:rsidRDefault="005D5656" w:rsidP="00FC6673">
            <w:r w:rsidRPr="0012430B">
              <w:t>Парентеральные</w:t>
            </w:r>
          </w:p>
        </w:tc>
      </w:tr>
      <w:tr w:rsidR="005D5656" w:rsidRPr="0012430B" w:rsidTr="00FC6673">
        <w:trPr>
          <w:tblCellSpacing w:w="15" w:type="dxa"/>
        </w:trPr>
        <w:tc>
          <w:tcPr>
            <w:tcW w:w="2274" w:type="pct"/>
            <w:vAlign w:val="center"/>
          </w:tcPr>
          <w:p w:rsidR="005D5656" w:rsidRPr="0012430B" w:rsidRDefault="005D5656" w:rsidP="00FC6673">
            <w:r w:rsidRPr="0012430B">
              <w:t>А Е</w:t>
            </w:r>
          </w:p>
        </w:tc>
        <w:tc>
          <w:tcPr>
            <w:tcW w:w="2680" w:type="pct"/>
            <w:vAlign w:val="center"/>
          </w:tcPr>
          <w:p w:rsidR="005D5656" w:rsidRPr="0012430B" w:rsidRDefault="005D5656" w:rsidP="00FC6673">
            <w:r w:rsidRPr="0012430B">
              <w:t>В С D</w:t>
            </w:r>
          </w:p>
        </w:tc>
      </w:tr>
    </w:tbl>
    <w:p w:rsidR="005D5656" w:rsidRPr="0012430B" w:rsidRDefault="005D5656" w:rsidP="005D5656">
      <w:pPr>
        <w:spacing w:before="120"/>
        <w:ind w:firstLine="567"/>
        <w:jc w:val="both"/>
      </w:pPr>
      <w:r w:rsidRPr="0012430B">
        <w:t>Значимость вирусных гепатитов: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Стабильно высокий уровень заболеваемости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Значительная доля в структуре инфекционной патологии (около 15%)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Преимущественное поражение детей до 14%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Значительная доля в структуре смертности от инфекционных болезней (около 10%)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Экономические потери от заболеваемости составляют 47% всех потерь от инфекционных болезней. 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Распространенность ВГВ в мире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2 млрд ч-к в мире инфицировано вирусом гепатита В, 350млн ч-к - хронические носители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Распространенность маркеров ВГВ варьирует (по вирусоносителям):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1.Высокая распространенность(8-20%) - Африка, Юго-Восточная Азия,часть Южной Америки (вертикальная передача)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2.Средняя (2-7%)-территория бывшего СССР, центральная Азия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3.Низкая(2% и менее)-Северная Америка,Австралия, Европа(половой путь передачи)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Гепатит В- заболевание, ассоциирующееся с плохими социальными и экономическими условиями жизни !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Особенности гепатита дельта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Возбудитель ВГД- РНК-содержащий дефекный (безоболочечный) вирус.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Способен к размножению только в присутствии вируса ГВ, из которого и формирует оболочку.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Развитие ГД возможно только у людей , уже инфицированных ГВ (суперинфекция), или при одномоментном инфицировании (коинфекция). Это приводит к утяжелению заболевания, некрозам печени с летальным исходом (у 1/3 лиц).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Все больные с циррозом печени (по С.О. Вязову) и 60% больных с ХАГ имели маркеры ГД. 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Особенности гепатита С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Возбудитель- один из самых сложных вирусов с гетерогенным геномом, особенно его структурных участков. Структура не стабильна.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Клинически протекает легче, чем ГВ, но риск развития цирроза и рака печени у переболевших в 4раза выше, чем при ГВ ("ласковый убийца")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Структура вируса гепатита 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ДНК - содержащий вирус (семейство гепадновирусов)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HBsAg - отвечает за иммуногенность вируса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lastRenderedPageBreak/>
        <w:t xml:space="preserve">Устойчивость вируса ГВ во внешней среде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При -20 С сохраняется в течение 10-20 лет (не инактивируется при многократных замораживаниях и оттаиваниях).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Выдерживает 10-минутное кипячение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Устойчив к воздействию протеолитических ферментов и органических растворителей.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Погибает при обработке 3-5% р-ром хлорамина в течение часа, перекисью водорода 6% в течение часа, этиловым спиртом (70%) в течение 2 минут, а также автоклавировании и стерилизации сухим жаром.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Биологические жидкости, содержащие вирус ВГ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Содержится в крови, сперме, слюне, моче, желчи и других секретах.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Реальную эпидопасность представляют кровь и сперма.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Заражающая доза в пересчете на кровь 0,000001 мл (т.н. "скрытая кровь")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Периоды заболевания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1.Инкубационный (от 40 до 180 дней, средняя инкубация - 90 дней)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Примечание: с середины инкубации ч-к уже заразен, но не знает об этом!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2.Продромальный - появляются неспецифические симптомы, длительность 2-3 недели (ч-к заразен!)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3.Период разгара- продолжается 2-3 недели в виде желтушной или безжелтушной формы (в соотношении1:4),Человек заразен!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4.Период реконвалесценции (ч-к может освободиться от вируса, или нет, т.е. может сформироваться носитель)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Диагноз ВГВ устанавливается: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Клинически (постепенное начало заболевания, длительный преджелтушный период с полиартралгией, отсутствие улучшения самочувствия или его ухудшение с появлением желтухи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Эпидемиологически -операции,иъекции и другие манипуляции, связанные с нарушением целостности кожи или слизистых за 6-30 недель до заболевания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Лабораторно ( неспецифическая и спеифическая диагностика)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определение активности печеночных ферментов и уровня билирубина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определение антигенов и специфических антител к ним 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Порядок информации и госпитализации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На каждый впервые выявленный случай заболевания (острого, хронического) и носительства заполняется и направляется в санэпидслужбу экстренное извещение (ф. 058/у).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Регистрация экстренных извещений осуществляется в журнале учета инфекционных заболеваний (ф. 060/у).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Все острые больные ПГ (или с подозрением на заболевание) подлежат госпитализации и лечению в инфекционных стационарах.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Варианты клинического течения безжелтушной (атипичной) формы ВГВ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Катаральная (гриппоподобная)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Абдоминальная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lastRenderedPageBreak/>
        <w:t xml:space="preserve">Артралгическая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Гепатит многолик!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Структура путей передачи вируса ГВ в течение 20 лет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Исходы вирусного гепатита 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Контингенты риска,подлежащие обследованию на НВsAg (пр.66 от02.04.93.)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1. Доноры крови, костного мозга, органов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2. Беременные женщины (в 3 триместре)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3. Новорожденные от матерей с НВsAg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4. Медработники, связанные с нарушением целостности кожных покровов и слизистых и работой с кровью (1 раз в год)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5. Пациенты отделений с высоким риском заражения ВГ (гемодиализ, пересадка почки, с/сосудистая, легочная хирургия, гематология, нефрология и др.)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Контингенты риска,подлежащие обследованию на НВsAg (пр.66 от02.04.93.)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6. Реципиенты крови и ее компонентов - дети 1 года жизни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7. Больные с заболеваниями печени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8. Взрослые и дети закрытых учреждений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9. Контингенты наркологических и кожно- венерологических диспансеров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Профилактика парентеральных гепатитов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Максимально возможное использование одноразового стерильного инструментария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Выполнение стандартов обеззараживания многоразового инструментария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Активная иммунизация -в соответствии с календарем прививок и по эпидпоказаниям (контингентам риска)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Рекомбинантные (генноинженерные вакцины) против ВГВ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Эти вакцины не содержат живых вирусных частиц, поэтому они более безопасны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НВsAg помещается на вектор-носитель (дрожжи) и с его помощью продуцируется сырье для будущей вакцины в неиссякаемых количествах (векторная вакцина)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По календарю прививок вакцина вводится всем новорожденным в 1-й день после рождения по схеме: 0, 1, 5 месяцев и всем подросткам в 13 лет по схеме: 0, 1, 6 месяцев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Факторы риска, снижающие ответ на вакцинацию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Пожилой возраст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Принадлежность к мужскому полу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Ожирение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Курение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В таких случаях должна назначаться дополнительная доза вакцины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Противопоказания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Повышенная индивидуальная чувствительность к любому компоненту вакцины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Острая тяжелая лихорадка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(незначительная простуда не является противопоказанием к иммунизации)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Мероприятия в отношении контактных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Контактные медработники из групп риска сразу после возникновения очага осматриваются врачом и им проводят лабораторное обследование (активность АлАт, HBsAg), затем через 3-4 месяца после установления контакта.За ними проводится меднаблюдение в течение 6 мес.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Всем остальным лицам, общавшимся с больным, проводят врачебный осмотр сразу после возникновения очага и далее при наличии показаний в течение 6 месяцев. Лабораторное обследование по решению врача.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Профилактика ПТГ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Тщательное врачебное серологическое и биохимическое обследование доноров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Максимальное ограничение числа доноров в отношении одного реципиента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Выявление доноров - источников ПТГ и отстранение их от донорства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Не допускаются к донорству лица, у которых установлены: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Перенесенное в прошлом ВГ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Наличие НBsAg, анти НСУ в сыворотке крови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Наличие хр. заболеваний печени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Контакт в семье или в квартире с больным ПГ в течение 6 месяцев с момента его госпитализации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Получение в течение последнего 1 года переливания крови и ее компонентов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Требования к санэпидрежиму в ОПК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Лабораторное обследование каждого донора проводится индивидуальным комплектом стерильного инструментария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Заготовку крови осуществляют пластикатными системами одноразового пользования с последующим их автоклавированием и утилизацией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Для каждого донора готовится индивидуальный комплект стерильного материала (ножницы, салфетки, тампоны с антисептиком и т.п., который используется при всех манипуляциях с кровью только одного донора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Каждому донору обязательно перед сдачей крови разъясняются все мероприятия по его защите от заражения: индивидуальные одноразовые медицинские материалы, обработка рук медперсонала перед каждой процедурой и др.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В учреждениях службы крови должны строго соблюдаться режимы дезинфекции, предстерилизационной очистки стерилизации всего инструментария в соответствии с ОСТ 42-21-2-85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Весь персонал учреждений службы крови обследуется на наличие НBsAg при поступлении на работу и далее 1 раз в год. Данные врачебного осмотра и результаты исследования на НBsAg сотрудников должны быть учтены (ф.030/у). Лица с выявленной НBs-антигенемией, по роду своей профессиональной деятельности связанные с забором крови у донора, заготовкой, переработкой или расфасовкой крови и кровепродуктов, отстраняются от выполняемой работы в отделениях и переводятся на др. работу, не связанную с этими процессами.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Профилактика ПГ при проведении лечебно - диагностических вмешательств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1. С целью предупреждения возможности заражения ПГ необходимо максимально применять медицинский и лабораторный инструментарий одноразового пользования; строго соблюдать правила использования, дезинфекции, предстерилизационной очистки и стерилизации медицинского и лабораторного инструментария и др. оборудования.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2. Запрещается проводить какие-либо инъекции, вакцинации, внутрикожные пробы и др. манипуляции нескольким лицам одним только шприцем при смене только игл. Для любой манипуляции каждому больному применяется отдельный стерильный инструментарий. Запрещается производить взятие крови из пальца одной микропипеткой у нескольких лиц. Не допускается промывание микропипетки в общем сосуде.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3. Мединструментарий всех видов после каждого использования должен подвергаться дезинфекции, тщательной предстерилизационной очистке и стерилизации согласно ОСТ 42-21-2-85 и др. официальным инструктивно-методическим документам.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 xml:space="preserve">4. В каждом УЗ выделяются лица, ответственные за проведение дезинфекции, предстерилизационной очистки и стерилизации медицинского и лабораторного инструментария </w:t>
      </w:r>
    </w:p>
    <w:p w:rsidR="005D5656" w:rsidRPr="0012430B" w:rsidRDefault="005D5656" w:rsidP="005D5656">
      <w:pPr>
        <w:spacing w:before="120"/>
        <w:ind w:firstLine="567"/>
        <w:jc w:val="both"/>
      </w:pPr>
      <w:r w:rsidRPr="0012430B">
        <w:t>5. Необходимо маркировать истории болезни и амбулаторные карты переболевших острыми парентеральными гепатитами - красным треугольником, носителей НBsAg и анти-НСУ и больных ХВГ - красным квадратом.</w:t>
      </w:r>
    </w:p>
    <w:p w:rsidR="005D5656" w:rsidRPr="00E4041A" w:rsidRDefault="005D5656" w:rsidP="005D5656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Список литературы</w:t>
      </w:r>
    </w:p>
    <w:p w:rsidR="005D5656" w:rsidRDefault="005D5656" w:rsidP="005D5656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56"/>
    <w:rsid w:val="00095BA6"/>
    <w:rsid w:val="0012430B"/>
    <w:rsid w:val="0031418A"/>
    <w:rsid w:val="005A2562"/>
    <w:rsid w:val="005D5656"/>
    <w:rsid w:val="009C380F"/>
    <w:rsid w:val="009E0470"/>
    <w:rsid w:val="00A44D32"/>
    <w:rsid w:val="00E12572"/>
    <w:rsid w:val="00E4041A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95EA7-1BBC-4478-88F7-246269E5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5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8414</Characters>
  <Application>Microsoft Office Word</Application>
  <DocSecurity>0</DocSecurity>
  <Lines>70</Lines>
  <Paragraphs>19</Paragraphs>
  <ScaleCrop>false</ScaleCrop>
  <Company>Home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Парентеральные гепатиты, вирусные гепатиты</dc:title>
  <dc:subject/>
  <dc:creator>Alena</dc:creator>
  <cp:keywords/>
  <dc:description/>
  <cp:lastModifiedBy>Igor Trofimov</cp:lastModifiedBy>
  <cp:revision>2</cp:revision>
  <dcterms:created xsi:type="dcterms:W3CDTF">2024-10-05T20:22:00Z</dcterms:created>
  <dcterms:modified xsi:type="dcterms:W3CDTF">2024-10-05T20:22:00Z</dcterms:modified>
</cp:coreProperties>
</file>