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71FD">
      <w:pPr>
        <w:ind w:firstLine="567"/>
        <w:jc w:val="center"/>
        <w:rPr>
          <w:b/>
          <w:bCs/>
          <w:lang w:val="en-US"/>
        </w:rPr>
      </w:pPr>
      <w:r>
        <w:rPr>
          <w:b/>
          <w:bCs/>
        </w:rPr>
        <w:t>ПЕРИМЕНОПАУЗА - ОТ КОНТРАЦЕПЦИИ ДО ЗАМЕСТИТЕЛЬНОЙ ГОРМОНАЛЬНОЙ ТЕРАПИИ</w:t>
      </w:r>
    </w:p>
    <w:p w:rsidR="00000000" w:rsidRDefault="00B271FD">
      <w:pPr>
        <w:ind w:firstLine="567"/>
        <w:jc w:val="center"/>
        <w:rPr>
          <w:b/>
          <w:bCs/>
          <w:lang w:val="en-US"/>
        </w:rPr>
      </w:pPr>
    </w:p>
    <w:p w:rsidR="00000000" w:rsidRDefault="00B271FD">
      <w:pPr>
        <w:ind w:firstLine="567"/>
        <w:jc w:val="both"/>
      </w:pPr>
      <w:r>
        <w:t xml:space="preserve">В. П. Сметник </w:t>
      </w:r>
    </w:p>
    <w:p w:rsidR="00000000" w:rsidRDefault="00B271FD">
      <w:pPr>
        <w:ind w:firstLine="567"/>
        <w:jc w:val="both"/>
      </w:pPr>
      <w:r>
        <w:t>Научный центр акушерства, гинекологии и перинатологии Р</w:t>
      </w:r>
      <w:r>
        <w:t>АМН, Москва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Перименопауза - это период возрастного снижения функции яичников, в основном после 45 лет, включая пременопаузу и один год после менопаузы или 2 года после последней самостоятельной менструации.</w:t>
      </w:r>
      <w:bookmarkStart w:id="0" w:name="_GoBack"/>
      <w:bookmarkEnd w:id="0"/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Менопауза - это последняя самостоятельная менст</w:t>
      </w:r>
      <w:r>
        <w:t xml:space="preserve">руация, обусловленная функцией репродуктивной системы. Дата менопаузы устанавливается ретроспективно, а </w:t>
      </w:r>
    </w:p>
    <w:p w:rsidR="00000000" w:rsidRDefault="00B271FD">
      <w:pPr>
        <w:ind w:firstLine="567"/>
        <w:jc w:val="both"/>
      </w:pPr>
      <w:r>
        <w:t>именно - после 12 месяцев отсутствия менструации. Менопауза наступает в среднем около 50 лет.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Эндокринология перименопаузы. Перименопауза характеризуе</w:t>
      </w:r>
      <w:r>
        <w:t xml:space="preserve">тся: </w:t>
      </w:r>
    </w:p>
    <w:p w:rsidR="00000000" w:rsidRDefault="00B271FD">
      <w:pPr>
        <w:ind w:firstLine="567"/>
        <w:jc w:val="both"/>
      </w:pPr>
      <w:r>
        <w:t xml:space="preserve">1) прогрессирующим истощением функции яичников, </w:t>
      </w:r>
    </w:p>
    <w:p w:rsidR="00000000" w:rsidRDefault="00B271FD">
      <w:pPr>
        <w:ind w:firstLine="567"/>
        <w:jc w:val="both"/>
      </w:pPr>
      <w:r>
        <w:t xml:space="preserve">2) изменением чувствительности оставшихся фолликулов, </w:t>
      </w:r>
    </w:p>
    <w:p w:rsidR="00000000" w:rsidRDefault="00B271FD">
      <w:pPr>
        <w:ind w:firstLine="567"/>
        <w:jc w:val="both"/>
      </w:pPr>
      <w:r>
        <w:t>3) изменением секреции яичниковых гормонов.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К моменту рождения в яичниках девочки находится около двух миллионов ооцитов, к пубертанному периоду </w:t>
      </w:r>
      <w:r>
        <w:t>- около 300-400 тысяч, а к 50 годам у большинства женщин их лишь несколько сотен. С возрастом, наряду с истощением фолликулов, также снижается число рецепторов к гонадотропинам. Это способствует снижению чувствительности яичников к собственным гонадотропны</w:t>
      </w:r>
      <w:r>
        <w:t>м стимулам и уменьшению частоты овуляторных циклов.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С уменьшением числа фолликулов отмечается селективное снижение секреции иммунореактивного ингибина яичниками, что чаще предшествует снижению секреции </w:t>
      </w:r>
    </w:p>
    <w:p w:rsidR="00000000" w:rsidRDefault="00B271FD">
      <w:pPr>
        <w:ind w:firstLine="567"/>
        <w:jc w:val="both"/>
      </w:pPr>
      <w:r>
        <w:t>эстрадиола. Поэтому ранним маркером предшествующей м</w:t>
      </w:r>
      <w:r>
        <w:t>енопаузы является повышение уровня ФСГ, т. к. между ингибином и ФСГ существует обратная связь. Поскольку секреция ЛГ не взаимосвязана с ингибином, то повышение ЛГ наступает позже и степень повышения его меньше, чем ФСГ.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По мере прекращения овуляции исчеза</w:t>
      </w:r>
      <w:r>
        <w:t xml:space="preserve">ет цикличность в секреции эстрадиола и прогестерона яичниками. 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Итак, для перименопаузы характерны следующие изменения в гипоталамо - гипофизарно-яичниковой системе: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1. Прогрессирующее истощение фолликулярного аппарата яичников;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2. Эпизодическое    повы</w:t>
      </w:r>
      <w:r>
        <w:t>шение уровней ФСГ задолго до менопаузы и постепенное более стабильное повышение его по мере приближения к менопаузе;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3. Прогрессирующее  снижение уровней эстрадиола в крови;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4. Урежение частоты овуляторных циклов;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5. Снижение фертильности.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Клиническим </w:t>
      </w:r>
      <w:r>
        <w:t>отражением измененной функции яичников в пременопаузе являются менструальные циклы, которые могут характеризоваться следующим образом: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регулярные циклы вплоть до наступления менопаузы: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чередование регулярных циклов с пролонгированными;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задержки ме</w:t>
      </w:r>
      <w:r>
        <w:t>нструаций от недели до нескольких месяцев;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чередование задержек менструаций различной продолжительности с метрорагиями.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Следует отметить, что однократное определение уровня гонадотропных (ФСГ, ЛГ) и стероидных гормонов в сыворотке крови (Е;, прогестеро</w:t>
      </w:r>
      <w:r>
        <w:t>н) является информативным только для данного цикла или данного периода времени. Дело в том, что у одной и той же женщины в течение одного года   пременопаузы могут отмечаться различные эндокринные характеристики циклов: от овуляторных или недостаточности л</w:t>
      </w:r>
      <w:r>
        <w:t>ютеиновой фазы до ановуляторных; от нормальных уровней эстрадиола до сниженных или эпизодически повышенных; от  нормальных уровней ФСГ до повышенных (&gt;30 МЕ/л).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Соответственно и в эндометрии может быть как полноценная фаза секреции, так и атрофия эндометр</w:t>
      </w:r>
      <w:r>
        <w:t>ия, в зависимости от гормональной функции яичников в ближайший к исследованию эндометрия период времени. В практической деятельности нередко приходится решать следующие основные сложные проблемы периода перименопаузы: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1. Контрацепция;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2. Восстановление ф</w:t>
      </w:r>
      <w:r>
        <w:t>ертильности: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3. Лечение дисфункциональных маточных кровотечений у женщин с метаболическими расстройствами;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4. Лечение климактерических расстройств.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Сложность решения вышеизложенных проблем определяется главным образом возрастом женщины, в котором частот</w:t>
      </w:r>
      <w:r>
        <w:t xml:space="preserve">а экстрагенитальных заболеваний растет и, соответственно, растут противопоказания для беременности и различных медика- </w:t>
      </w:r>
    </w:p>
    <w:p w:rsidR="00000000" w:rsidRDefault="00B271FD">
      <w:pPr>
        <w:ind w:firstLine="567"/>
        <w:jc w:val="both"/>
      </w:pPr>
      <w:r>
        <w:t>ментозных препаратов.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1. Контрацепция - в перименопаузе представляет важную медицинскую и социальную проблему, которая нередко недооцен</w:t>
      </w:r>
      <w:r>
        <w:t>ивается. Особенно остро стоит эта проблема для женщины старше 45-47 лет, с регулярными менструальными циклами или с чередованием регулярных циклов с пролонгированными. Нередко довольно сложно оценить, сохранилась ли способность к зачатию. Число беременност</w:t>
      </w:r>
      <w:r>
        <w:t>ей на 100 женщин в год в пременопаузе составляет 10-20 - в возрасте старше 45 и 0-5 - в возрасте старше 50 лет.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Хотя частота овуляций и половых контактов к 45 годам и старше урежается, однако у части женщин может повышаться сексуальность и/или появляться </w:t>
      </w:r>
      <w:r>
        <w:t xml:space="preserve">новые партнеры. </w:t>
      </w:r>
    </w:p>
    <w:p w:rsidR="00000000" w:rsidRDefault="00B271FD">
      <w:pPr>
        <w:ind w:firstLine="567"/>
        <w:jc w:val="both"/>
      </w:pPr>
      <w:r>
        <w:t xml:space="preserve">Следовательно, риск наступления нежелательной беременности в перименопаузе существует. Последствия наступления нежелательной беременности могут быть довольно тяжелые: стыд, депрессия, страх сохранения и/или прерывания беременности. Иногда </w:t>
      </w:r>
      <w:r>
        <w:t>у одиноких женщин могут даже появляться суицидальные мысли.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Частота  самопроизвольных выкидышей в перименопаузе на очень малых сроках составляет 25-50 %, что нередко расценивается как климактерическая дисфункция яичников.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Основные методы контрацепции в п</w:t>
      </w:r>
      <w:r>
        <w:t>ерименопаузе: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1) трубная стерилизация: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2) низкодозированные оральные контрацептивы для некурящих (марвелон, марселон. фемоден);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3) прогестагены (мини-пили в таблетках, пролонгированные инъекционные - депо-провера или с ВМС - мирена):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4) барьерные метод</w:t>
      </w:r>
      <w:r>
        <w:t>ы.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Суммируя личный клинический опыт и данные литературы, можно заключить: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Применение контрацепции в перименопаузе показано при регулярных менструальных циклах или при чередовании их с нерегулярными.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Контрацепцию следует рекомендовать до 6-12 месяцев</w:t>
      </w:r>
      <w:r>
        <w:t xml:space="preserve"> после наступления менопаузы. Во всяком случае, следует женщину предупреждать об этом и о возможности наступления беременности. Во избежание неприятных неожиданностей </w:t>
      </w:r>
    </w:p>
    <w:p w:rsidR="00000000" w:rsidRDefault="00B271FD">
      <w:pPr>
        <w:ind w:firstLine="567"/>
        <w:jc w:val="both"/>
      </w:pPr>
      <w:r>
        <w:t>женщина должна помнить об этом, и лучше лишний раз провести тест на беременность, измери</w:t>
      </w:r>
      <w:r>
        <w:t>ть базальную температуру или провести УЗИ.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- Предпочтение отдается барьерным методам, но в этом возрасте нередко трудно начать применение презервативов, если не было опыта в репродуктивном возрасте. </w:t>
      </w:r>
    </w:p>
    <w:p w:rsidR="00000000" w:rsidRDefault="00B271FD">
      <w:pPr>
        <w:ind w:firstLine="567"/>
        <w:jc w:val="both"/>
      </w:pPr>
      <w:r>
        <w:t>Это может быть также связано с трофическими изменениями</w:t>
      </w:r>
      <w:r>
        <w:t xml:space="preserve"> в слизистой оболочке влагалища и с проблемами эрекции у мужчин.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- Стерилизация    является слишком радикальным методом для "перименопаузального возраста. </w:t>
      </w:r>
    </w:p>
    <w:p w:rsidR="00000000" w:rsidRDefault="00B271FD">
      <w:pPr>
        <w:ind w:firstLine="567"/>
        <w:jc w:val="both"/>
      </w:pPr>
      <w:r>
        <w:t>После стерилизации у женщин могут появиться ациклические кровянистые выделения.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При наличии внут</w:t>
      </w:r>
      <w:r>
        <w:t>риматочных спиралей у 40-летних женщин целесообразнее удалять их после наступления менопаузы.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Женщины могут продолжать принимать КОК после 40 лет, если они не курят и отсутствуют другие факторы риска для развития тромбоза глубоких вен и ИБС.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Депо-прове</w:t>
      </w:r>
      <w:r>
        <w:t xml:space="preserve">ра     уменьшает кровопотерю при менструации, предотвращает развитие климактерических симптомов, и отмечается лечебный эффект при гиперпластических процессах в эндометрии, миоме, эндометриозе и мастопатии. </w:t>
      </w:r>
    </w:p>
    <w:p w:rsidR="00000000" w:rsidRDefault="00B271FD">
      <w:pPr>
        <w:ind w:firstLine="567"/>
        <w:jc w:val="both"/>
      </w:pPr>
      <w:r>
        <w:t>Мини-пили и дено-провера эффективны как контрацеп</w:t>
      </w:r>
      <w:r>
        <w:t>тивы, но могут возникать ациклические кровянистые выделения.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Внутриматочная система с левоноргистрелом мирена уменьшает менструальную кровопотерю. При появлении приливов и ночных потов можно дополнительно </w:t>
      </w:r>
    </w:p>
    <w:p w:rsidR="00000000" w:rsidRDefault="00B271FD">
      <w:pPr>
        <w:ind w:firstLine="567"/>
        <w:jc w:val="both"/>
      </w:pPr>
      <w:r>
        <w:t>назначить натуральные эстрогены: эстрадиол валера</w:t>
      </w:r>
      <w:r>
        <w:t>т 2 мг/сутки (прогинова), 17р-эстрадиол - 2 мг/сутки (эстрофем) или эстриол орально или вагинально (овестин).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2. Восстановление фертильности в перименопаузе. Основные причины обращений; гибель детей, поздний или повторный брак, бесплодие или невынашивание</w:t>
      </w:r>
      <w:r>
        <w:t xml:space="preserve"> беременности в </w:t>
      </w:r>
      <w:r>
        <w:lastRenderedPageBreak/>
        <w:t xml:space="preserve">позднем репродуктивном возрасте, овариэктомии в молодом возрасте, социально-экономические факторы. Использование методов вспомогательной репродукции (ЭКО и яйцеклетки донора)   и   популяризация   их способствуют увеличению числа обращений </w:t>
      </w:r>
      <w:r>
        <w:t xml:space="preserve">с целью восстановления </w:t>
      </w:r>
    </w:p>
    <w:p w:rsidR="00000000" w:rsidRDefault="00B271FD">
      <w:pPr>
        <w:ind w:firstLine="567"/>
        <w:jc w:val="both"/>
      </w:pPr>
      <w:r>
        <w:t>фертильности.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В последнее десятилетие на различных уровнях обсуждается вопрос о целесообразности восстановления фертильности у женщин в пери- и в постменопаузе с различных точек зрения: медицинской, юридической, демографической, ге</w:t>
      </w:r>
      <w:r>
        <w:t xml:space="preserve">нетической, религиозной и пр. Широкая реклама успехов медицины (использование ооцитов молодых здоровых доноров, ранняя диагнос- </w:t>
      </w:r>
    </w:p>
    <w:p w:rsidR="00000000" w:rsidRDefault="00B271FD">
      <w:pPr>
        <w:ind w:firstLine="567"/>
        <w:jc w:val="both"/>
      </w:pPr>
      <w:r>
        <w:t>тика состояния плода и своевременное прерывание беременности) увеличила число обращений женщин в перименопаузе.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Вопрос о восст</w:t>
      </w:r>
      <w:r>
        <w:t>ановлении фертильности в перименопаузе решается консультативно с учетом следующих факторов;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оценки здоровья супругов и психо-социальной ситуации;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целесообразности ЭКО и использование яйцеклетки донора;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максимальной информации супружеской пары о ри</w:t>
      </w:r>
      <w:r>
        <w:t>ске для матери и плода, о возможности стимуляции онкологических и др. заболеваний;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предварительной подготовки эндометрия препаратами натуральных эстрогенов (17р-эстрадиол - эстрофем, эстрадиол валерат - прогинова);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положительной   оценки здоровья мат</w:t>
      </w:r>
      <w:r>
        <w:t>ери и плода в период беременности;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максимально</w:t>
      </w:r>
      <w:r>
        <w:rPr>
          <w:lang w:val="en-US"/>
        </w:rPr>
        <w:t xml:space="preserve"> </w:t>
      </w:r>
      <w:r>
        <w:t>щадящем родоразрешении.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Мы не призываем к активному восстановлению фертильности в перименопаузе, но акцентируем внимание на существовании прооломы, отношение к которой не может быть однозначным.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3. Лечени</w:t>
      </w:r>
      <w:r>
        <w:t xml:space="preserve">е дис функциональных маточных кровотечений в пременопаузе. Клиническая дисфункция яичников в пременопаузе чаше характеризуется длительными кровянистыми выделениями различной интенсивности после за- </w:t>
      </w:r>
    </w:p>
    <w:p w:rsidR="00000000" w:rsidRDefault="00B271FD">
      <w:pPr>
        <w:ind w:firstLine="567"/>
        <w:jc w:val="both"/>
      </w:pPr>
      <w:r>
        <w:t>держек менструации от недели до нескольких месяцев. Терми</w:t>
      </w:r>
      <w:r>
        <w:t>н не очень удачный, но все же объясняется возрастом женщины и указывает на кровотечение, которое может быть частым, длительным или обильным и не связанным с органическими заболеваниями в половых органах, беременностью или с другими медицинскими проблемами.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Чаще всего причиной кровотечения в пременопаузе являются ановуляторные циклы или недостаточность лютеиновой фазы цикла. В эндометрии может выявиться ги- </w:t>
      </w:r>
    </w:p>
    <w:p w:rsidR="00000000" w:rsidRDefault="00B271FD">
      <w:pPr>
        <w:ind w:firstLine="567"/>
        <w:jc w:val="both"/>
      </w:pPr>
      <w:r>
        <w:t>перплазия - от простой (железисто-кистозной) до   аденоматозной и/или атипической.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Главное в обслед</w:t>
      </w:r>
      <w:r>
        <w:t xml:space="preserve">овании - исключить органические заболевания в матке и яичниках, инфекцию, беременность, изменения в системе гемостаза и пр. Поэтому, кроме гематологических исследований, показаны УЗИ, гистероскопия и </w:t>
      </w:r>
    </w:p>
    <w:p w:rsidR="00000000" w:rsidRDefault="00B271FD">
      <w:pPr>
        <w:ind w:firstLine="567"/>
        <w:jc w:val="both"/>
      </w:pPr>
      <w:r>
        <w:t>раздельное диагностическое выскабливание и, по показани</w:t>
      </w:r>
      <w:r>
        <w:t>ям, лапароскопия и другие исследования.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В нашей стране накоплен более чем 30-летний опыт применения прогестагенов - производных 19-норстероидов (норкулут, примолют), а также 17-ОПК и депо-провера. Однако особые сложности в практической деятельности отмеча</w:t>
      </w:r>
      <w:r>
        <w:t>ются при выборе типа гестагенного препарата у женщин с метаболическими нарушениями: ожирение по центральному типу, индекс отношения объема талии к объему бедер &gt; 0,8. гипертемзия, участки гиперпигментации кожи, симптомы ги-</w:t>
      </w:r>
    </w:p>
    <w:p w:rsidR="00000000" w:rsidRDefault="00B271FD">
      <w:pPr>
        <w:ind w:firstLine="567"/>
        <w:jc w:val="both"/>
      </w:pPr>
      <w:r>
        <w:t>перандрогении (гирсутизм, гиперт</w:t>
      </w:r>
      <w:r>
        <w:t xml:space="preserve">рихоз, акне). Нередковыявляются инсулин - независимый диабет II типа, дислипопротеинемия. На фоне терапии прогестагенами - производными 19-норстероидов - у таких больных может отмечаться отрицательная динамика метаболических  проявлений:  увеличение </w:t>
      </w:r>
    </w:p>
    <w:p w:rsidR="00000000" w:rsidRDefault="00B271FD">
      <w:pPr>
        <w:ind w:firstLine="567"/>
        <w:jc w:val="both"/>
      </w:pPr>
      <w:r>
        <w:t>массы</w:t>
      </w:r>
      <w:r>
        <w:t xml:space="preserve"> тела, задержка жидкости, повышение триглицеридов и ЛПНП в крови, гипертензия, прогрессирование симптомов гиперандрогении.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Для лечения подобного контингента больных наиболее показанным является использование дидрогестерона (Дюфастона). Дидрогестерон по хи</w:t>
      </w:r>
      <w:r>
        <w:t xml:space="preserve">мической структуре и фармакологичекому действию является пероральным аналогом </w:t>
      </w:r>
    </w:p>
    <w:p w:rsidR="00000000" w:rsidRDefault="00B271FD">
      <w:pPr>
        <w:ind w:firstLine="567"/>
        <w:jc w:val="both"/>
      </w:pPr>
      <w:r>
        <w:t>натурального прогестерона. Он применяется в странах Западной Европы с начала 60-х годов, имеет широкий спектр показаний.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В отличие от натурального прогестерона он имеет преимущ</w:t>
      </w:r>
      <w:r>
        <w:t xml:space="preserve">ество: предсказуемую биоактивность после приема внутрь. Дидрогестерон отличается от природного </w:t>
      </w:r>
    </w:p>
    <w:p w:rsidR="00000000" w:rsidRDefault="00B271FD">
      <w:pPr>
        <w:ind w:firstLine="567"/>
        <w:jc w:val="both"/>
      </w:pPr>
      <w:r>
        <w:t>прогестерона лишь по иному расположению в пространстве атома водорода и одной из метильных группировок. Поэтому его называют также “ретро прогестероном”. Но име</w:t>
      </w:r>
      <w:r>
        <w:t xml:space="preserve">нно эти различия обеспечивают высокую активность препарата при </w:t>
      </w:r>
    </w:p>
    <w:p w:rsidR="00000000" w:rsidRDefault="00B271FD">
      <w:pPr>
        <w:ind w:firstLine="567"/>
        <w:jc w:val="both"/>
      </w:pPr>
      <w:r>
        <w:t xml:space="preserve">пероральном приеме. Он хорошо абсорбируется, после перорального </w:t>
      </w:r>
    </w:p>
    <w:p w:rsidR="00000000" w:rsidRDefault="00B271FD">
      <w:pPr>
        <w:ind w:firstLine="567"/>
        <w:jc w:val="both"/>
      </w:pPr>
      <w:r>
        <w:t xml:space="preserve">приема максимальная концентрация в крови достигается через 0,5-2,5 часа. 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Дюфастон обладает исключительно протестагенной акти</w:t>
      </w:r>
      <w:r>
        <w:t xml:space="preserve">вностью и лишен других гормональных эффектов. Для лечения дисфункциональных маточных кровотечений в пременопаузе Дюфастон назначают по 10-20 мг/сутки в течение 14 дней или но контрацептивной схеме в течение 21 дня. Лечение проводится в течение 3-6-9 </w:t>
      </w:r>
    </w:p>
    <w:p w:rsidR="00000000" w:rsidRDefault="00B271FD">
      <w:pPr>
        <w:ind w:firstLine="567"/>
        <w:jc w:val="both"/>
      </w:pPr>
      <w:r>
        <w:t>месяц</w:t>
      </w:r>
      <w:r>
        <w:t>ев. Параллельно назначается терапия, направленная на коррекцию метаболических нарушений: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диета, липолитические и гипотензивные средства, поливитамины и коррекция измененной функции других эндокринных желез.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  <w:rPr>
          <w:lang w:val="en-US"/>
        </w:rPr>
      </w:pPr>
      <w:r>
        <w:t>4. Гормонопрофилактика и терапия симптомов клим</w:t>
      </w:r>
      <w:r>
        <w:t>актерического синдрома.Ранние симптомы КС (приливы, гипер-гидроз и др.) чаще появляются в перименопаузе у женщин с пролонгированными циклами. Это указывает на прогрессирующее снижение синтеза половых гормонов. Клинический диагноз может бытьподтвержден пост</w:t>
      </w:r>
      <w:r>
        <w:t>оянным повышенным уровнем ФСГ - более 20-30 МЕ/л и уровнем Е.^ ниже 100 нмоль/л. В перименопаузе могут также появиться урогенитальные и сексуальные расстройства (40-60 %). При подобном течении перименопаузы показана заместительная гормонотерапия (ЗГТ), что</w:t>
      </w:r>
      <w:r>
        <w:t xml:space="preserve"> является также и гормонопрофилактикой трофических изменений в мочеполовом тракте и поздних обменных нарушений - атеросклероза и остеопороза.</w:t>
      </w:r>
    </w:p>
    <w:p w:rsidR="00000000" w:rsidRDefault="00B271FD">
      <w:pPr>
        <w:ind w:firstLine="567"/>
        <w:jc w:val="both"/>
        <w:rPr>
          <w:lang w:val="en-US"/>
        </w:rPr>
      </w:pPr>
    </w:p>
    <w:p w:rsidR="00000000" w:rsidRDefault="00B271FD">
      <w:pPr>
        <w:pStyle w:val="1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Двухфазные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эстроген-гестагенные препараты, зарегистрированные в России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2300"/>
        <w:gridCol w:w="1320"/>
        <w:gridCol w:w="3140"/>
        <w:gridCol w:w="14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Препарат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Эстроген</w:t>
            </w:r>
          </w:p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(мг/сут.)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Доза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Прогестаг</w:t>
            </w:r>
            <w:r>
              <w:rPr>
                <w:b/>
                <w:bCs/>
              </w:rPr>
              <w:t>ен (мг/сут.)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Доза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Фемостон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17(3-эстрадиол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2,0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дидрогестерон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</w:p>
          <w:p w:rsidR="00000000" w:rsidRDefault="00B271FD">
            <w:pPr>
              <w:spacing w:before="20"/>
              <w:ind w:firstLine="567"/>
              <w:jc w:val="both"/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(микронизи-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</w:p>
          <w:p w:rsidR="00000000" w:rsidRDefault="00B271FD">
            <w:pPr>
              <w:spacing w:before="20"/>
              <w:ind w:firstLine="567"/>
              <w:jc w:val="both"/>
            </w:pP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</w:p>
          <w:p w:rsidR="00000000" w:rsidRDefault="00B271FD">
            <w:pPr>
              <w:spacing w:before="20"/>
              <w:ind w:firstLine="567"/>
              <w:jc w:val="both"/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</w:p>
          <w:p w:rsidR="00000000" w:rsidRDefault="00B271FD">
            <w:pPr>
              <w:spacing w:before="20"/>
              <w:ind w:firstLine="567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</w:p>
          <w:p w:rsidR="00000000" w:rsidRDefault="00B271FD">
            <w:pPr>
              <w:spacing w:before="20"/>
              <w:ind w:firstLine="567"/>
              <w:jc w:val="both"/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рованный)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</w:p>
          <w:p w:rsidR="00000000" w:rsidRDefault="00B271FD">
            <w:pPr>
              <w:spacing w:before="20"/>
              <w:ind w:firstLine="567"/>
              <w:jc w:val="both"/>
            </w:pP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</w:p>
          <w:p w:rsidR="00000000" w:rsidRDefault="00B271FD">
            <w:pPr>
              <w:spacing w:before="20"/>
              <w:ind w:firstLine="567"/>
              <w:jc w:val="both"/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</w:p>
          <w:p w:rsidR="00000000" w:rsidRDefault="00B271FD">
            <w:pPr>
              <w:spacing w:before="20"/>
              <w:ind w:firstLine="567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Дивина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эстрадиол-валерат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2,0</w:t>
            </w: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медроксипрогестерон ацетат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Климен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эстрадиол-валерат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2,0</w:t>
            </w: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ципротерон ацетат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Климонорм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эстрадиол-валерат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2,0</w:t>
            </w: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лев</w:t>
            </w:r>
            <w:r>
              <w:rPr>
                <w:b/>
                <w:bCs/>
              </w:rPr>
              <w:t>оноргестрел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B271FD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Циклопрогинова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эсрадиол-валерат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2,0</w:t>
            </w: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норгестрел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271FD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0,5</w:t>
            </w:r>
          </w:p>
        </w:tc>
      </w:tr>
    </w:tbl>
    <w:p w:rsidR="00000000" w:rsidRDefault="00B271FD">
      <w:pPr>
        <w:ind w:firstLine="567"/>
        <w:jc w:val="both"/>
        <w:rPr>
          <w:lang w:val="en-US"/>
        </w:rPr>
      </w:pP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Мы не исключаем возможности назначения нейролептиков и транквилизаторов, а также препаратов, растительного происхождения (климадинон) и гомеопатичесчих средств (климактоплан), но они н</w:t>
      </w:r>
      <w:r>
        <w:t>е предупреждают развития и не нормализуют имеющиеся обменно трофические изменения.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В последние 3-4 года назначение ЗГГ чаще практикуется начиная с перименопаузы, что способствует более ранней и благоприятной биологической трансформации до наступления мено</w:t>
      </w:r>
      <w:r>
        <w:t>паузы и улучшению качества жизни.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При решении вопроса о выборе типа препарата для ЗГТ крайне важно определить: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1) фазу климактерия: перименопауза или постменопауза;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2) интактная матка или отсутствует. и по поводу чего произведена гистерэктомия.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Дело в </w:t>
      </w:r>
      <w:r>
        <w:t>том, что в перименопаузе гормональная функция яичников пусть на низком уровне, но все же существует. Поэтому эндометрий испытывает на себе влияние различных  концентраций эстрогенов и, соответственно, состояние эндометрия может быть различным - от фазы про</w:t>
      </w:r>
      <w:r>
        <w:t xml:space="preserve">лиферации до секреции или гиперплазии. </w:t>
      </w:r>
    </w:p>
    <w:p w:rsidR="00000000" w:rsidRDefault="00B271FD">
      <w:pPr>
        <w:ind w:firstLine="567"/>
        <w:jc w:val="both"/>
      </w:pPr>
      <w:r>
        <w:t>Следовательно, для женщин в перименопаузе с интактной маткой подбираются двух- или трехфазные гормональные препараты, в которые, наряду с эстрогенньм компонентом, обязательно включен прогестаген. Последний способству</w:t>
      </w:r>
      <w:r>
        <w:t>ет секреторной трансформации пролиферирующего эндометрия и, таким образом, проводится реальная профилактика гиперпластических процессов в эндометрии. В дни менструальноподобной реакции происходит отторжение эндометрия. Перед назначением двух- или трехфазны</w:t>
      </w:r>
      <w:r>
        <w:t>х препаратов обязательно уточняется состояние эндометрия на 5-6-й день менструального цикла. При задержке менструации назначается гестаген в течение 12-14 дней (Дюфастон по 1-20 мг/сутки,норколут или примолут по 5 мг/сутки,   либо   провера  по 30 мг/сутки</w:t>
      </w:r>
      <w:r>
        <w:t>). Итак. на 5-б-й день спонтанного или искусственного цикла проводится УЗИ эндометрия.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При толщине эндометрия до 5 мм ЗГТ не противопоказана. При отсутствии матки может назначаться монотерапия эстрогенами прерывистыми курсами (по 3-4 неде- </w:t>
      </w:r>
    </w:p>
    <w:p w:rsidR="00000000" w:rsidRDefault="00B271FD">
      <w:pPr>
        <w:ind w:firstLine="567"/>
        <w:jc w:val="both"/>
      </w:pPr>
      <w:r>
        <w:t>ли) с недельны</w:t>
      </w:r>
      <w:r>
        <w:t>ми перерывами или в непрерывном режиме. Если гистерэктомия произведена по поводу эндометриоза. показано применение двух- либо трехфазных препаратов для ЗГТ. Многолетние многоцентровые исследования позволили определить минимально-оптимальную  дозу  натураль</w:t>
      </w:r>
      <w:r>
        <w:t xml:space="preserve">ных эстрогенов, которая реально способствует улучшению состояния больных и способствует профилактике и коррекции метаболических </w:t>
      </w:r>
      <w:r>
        <w:lastRenderedPageBreak/>
        <w:t>нарушений (атеросклероза и остеопороза). При приеме этой дозы уровень эстралиола в сыворотке крови соответствует таковому в ранн</w:t>
      </w:r>
      <w:r>
        <w:t xml:space="preserve">ей фазе пролиферации. Для эстрадиола валерата и 17{3-эстрадиола эта </w:t>
      </w:r>
    </w:p>
    <w:p w:rsidR="00000000" w:rsidRDefault="00B271FD">
      <w:pPr>
        <w:ind w:firstLine="567"/>
        <w:jc w:val="both"/>
      </w:pPr>
      <w:r>
        <w:t>доза равна 2 мг/сутки.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В нашей стране имеется многолетний клинический и научный опыт (1991-1993гг) применения двухфазных гормональных препаратов и с 1996 года - трехфазного </w:t>
      </w:r>
    </w:p>
    <w:p w:rsidR="00000000" w:rsidRDefault="00B271FD">
      <w:pPr>
        <w:ind w:firstLine="567"/>
        <w:jc w:val="both"/>
      </w:pPr>
      <w:r>
        <w:t>препарата. Г</w:t>
      </w:r>
      <w:r>
        <w:t>естагены, представленные в этих препаратах, двух типов: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производные либо прогестерона, либо 19-норстероидов.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Основное свойство всех прогестагенов - это способность вызывать секреторные изменения в эндометрии. Наряду с этим, прогестагены могутобладать ант</w:t>
      </w:r>
      <w:r>
        <w:t xml:space="preserve">иандрогенным (ципротеронацетат), андрогенным, слабым эстрогенным и антиэстрогенным эффектами. Прогестерон и дидрогестерон {Дюфастон) полностью лишены андрогенных эффектов. Производные 19-норстероидов обладают выраженным прогестагенным эффектом, но имеют и </w:t>
      </w:r>
      <w:r>
        <w:t>андрогенный эффект.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 xml:space="preserve">Начиная с 1998 года в клиническую практику внедряется двухфазный препарат Фемостон, в котором эстрогенный компонент представлен микронизированным </w:t>
      </w:r>
    </w:p>
    <w:p w:rsidR="00000000" w:rsidRDefault="00B271FD">
      <w:pPr>
        <w:ind w:firstLine="567"/>
        <w:jc w:val="both"/>
      </w:pPr>
      <w:r>
        <w:t>17р-эстрадиолом. Микронизированная форма быстро всасывается из желудочно-кишечного тракт</w:t>
      </w:r>
      <w:r>
        <w:t>а и имеет постоянную концентрацию в плазме крови без флюктуаций. Дюфастон (дидрогестерон) лишен андрогенных эффектов и надежно защищает эндометрий. Наряду с положительным   влиянием   на симптомы климактерического синдрома, Фемостон оказывает положительный</w:t>
      </w:r>
      <w:r>
        <w:t xml:space="preserve"> эффект на сердечно-сосудистую и костную системы. Наряду со снижением общего холестерина. ЛПНП (-15 %), повышением ЛПВП (-16 %). на фоне Фемостона снижаются липопротеин(а) (-24,4 %) и триглицериды. что крайне важно при инсулинрезистентности. Кроме того, сн</w:t>
      </w:r>
      <w:r>
        <w:t>ижается синтез ангиотензин - конвертирующего фактора и гомоцистеина - маркера сердечнососудистых заболеваний.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Фемостон назначается в непрерывном режиме, благодаря чему достигается постоянная концентрация в крови эстрадиола и отсутствие возврата климактери</w:t>
      </w:r>
      <w:r>
        <w:t>ческих симптомов в течение цикла. Регулярная менструальноподобная реакция отмечена более чем у 85 % принимающих препарат. Средняя длительность менструации составляет 5,5 дней с колебаниями до 1-2 дней.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Методика обследования больных перед назначением Фемос</w:t>
      </w:r>
      <w:r>
        <w:t xml:space="preserve">тона и противопоказания являются общими, как и для других видов ЗГТ. Нередко в практической деятельности приходится решить вопрос о времени перевода больной с двух-, </w:t>
      </w:r>
    </w:p>
    <w:p w:rsidR="00000000" w:rsidRDefault="00B271FD">
      <w:pPr>
        <w:ind w:firstLine="567"/>
        <w:jc w:val="both"/>
      </w:pPr>
      <w:r>
        <w:t>трехфазных препаратов на препараты, применяемые в постменопаузе.Непросто ответить, наступ</w:t>
      </w:r>
      <w:r>
        <w:t>ила ли менопауза. Нам представляется,что кандидатами на ЗГТ, назначаемую в постменопаузе, являются женщины: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принимающие двух- или трехфазные препараты в пременопаузе, в течение последних 2-3 месяцев не отвечающие менструальноподобной реакцией;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t>- женщин</w:t>
      </w:r>
      <w:r>
        <w:t>ы старше 50 лет. Получив информированное согласие женщины, можно отменить двух- или трехфазную терапию на 2-4 и более недель. Если менструальноподобная реакция отсутствует, появились симптомы климактерического синдрома (ФСГ &gt;30 МЕ/л, а уровень эстрадиола &lt;</w:t>
      </w:r>
      <w:r>
        <w:t>100 пмоль/л), то можно рекомендовать препараты ЗГТ для постменопаузы (клиогест, ливиал).</w:t>
      </w:r>
    </w:p>
    <w:p w:rsidR="00000000" w:rsidRDefault="00B271FD">
      <w:pPr>
        <w:ind w:firstLine="567"/>
        <w:jc w:val="both"/>
      </w:pPr>
    </w:p>
    <w:p w:rsidR="00000000" w:rsidRDefault="00B271FD">
      <w:pPr>
        <w:ind w:firstLine="567"/>
        <w:jc w:val="both"/>
      </w:pPr>
      <w:r>
        <w:lastRenderedPageBreak/>
        <w:t>В заключение следует отметить, что мы остановились лишь на некоторых проблемах перименопаузы. Своевременное решение проблем - от контрацепции до ЗГТ - это реальный пу</w:t>
      </w:r>
      <w:r>
        <w:t>ть сохранения здоровья женщин и профилактики трофических изменений в постменопаузе.</w:t>
      </w:r>
    </w:p>
    <w:p w:rsidR="00000000" w:rsidRDefault="00B271FD">
      <w:pPr>
        <w:ind w:firstLine="567"/>
        <w:jc w:val="both"/>
      </w:pPr>
    </w:p>
    <w:p w:rsidR="00B271FD" w:rsidRDefault="00B271FD">
      <w:pPr>
        <w:ind w:firstLine="567"/>
        <w:jc w:val="both"/>
        <w:rPr>
          <w:lang w:val="en-US"/>
        </w:rPr>
      </w:pPr>
      <w:r>
        <w:t>ИСТОЧНИК: Журнал акушерства и женских болезней, № 1,1999, с 89-95</w:t>
      </w:r>
    </w:p>
    <w:sectPr w:rsidR="00B271FD">
      <w:pgSz w:w="11906" w:h="16838" w:code="9"/>
      <w:pgMar w:top="1134" w:right="1134" w:bottom="1134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3"/>
    <w:rsid w:val="008B3523"/>
    <w:rsid w:val="00B2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hd w:val="clear" w:color="FFFFFF" w:fill="000000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hd w:val="clear" w:color="FFFFFF" w:fill="000000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2832</Words>
  <Characters>16149</Characters>
  <Application>Microsoft Office Word</Application>
  <DocSecurity>0</DocSecurity>
  <Lines>134</Lines>
  <Paragraphs>37</Paragraphs>
  <ScaleCrop>false</ScaleCrop>
  <Company>МИР ЗДОРОВЬЯ</Company>
  <LinksUpToDate>false</LinksUpToDate>
  <CharactersWithSpaces>18944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ПЕРИМЕНОПАУЗА - ОТ КОНТРАЦЕПЦИИ ДО ЗАМЕСТИТЕЛЬНОЙ ГОРМОНАЛЬНОЙ ТЕРАПИИ</dc:title>
  <dc:creator>Иван Кокоткин</dc:creator>
  <cp:lastModifiedBy>Igor</cp:lastModifiedBy>
  <cp:revision>2</cp:revision>
  <dcterms:created xsi:type="dcterms:W3CDTF">2024-10-08T08:45:00Z</dcterms:created>
  <dcterms:modified xsi:type="dcterms:W3CDTF">2024-10-08T08:45:00Z</dcterms:modified>
</cp:coreProperties>
</file>