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2A2D">
      <w:pPr>
        <w:pStyle w:val="Normal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Введение</w:t>
      </w:r>
    </w:p>
    <w:p w:rsidR="00000000" w:rsidRDefault="00FE2A2D">
      <w:pPr>
        <w:pStyle w:val="Normal"/>
        <w:rPr>
          <w:sz w:val="28"/>
        </w:rPr>
      </w:pPr>
      <w:r>
        <w:rPr>
          <w:b/>
          <w:sz w:val="28"/>
        </w:rPr>
        <w:t>П</w:t>
      </w:r>
      <w:r>
        <w:rPr>
          <w:sz w:val="28"/>
        </w:rPr>
        <w:t>иелонефрит является самым частым заболеванием почек во всех возрастных группах. Существуют различия в заболеваемости пиелонефритом мужчин и женщин в разные возрастные периоды. В целом женщины преобладают среди больных пиелонефритом. В возрасте от</w:t>
      </w:r>
      <w:r>
        <w:rPr>
          <w:sz w:val="28"/>
        </w:rPr>
        <w:t xml:space="preserve"> 2 до 15 лет девочки болеют пиелонефритом в 6 раз чаще, чем мальчики, почти такое же соотношение отмечается между мужчинами и женщинами в молодом и среднем возрасте. В пожилом возрасте пиелонефрит чаще возникает у мужчин. Эти различия связаны с нарушением </w:t>
      </w:r>
      <w:r>
        <w:rPr>
          <w:sz w:val="28"/>
        </w:rPr>
        <w:t xml:space="preserve">уродинамики и инфицированием мочевыводящих путей в разные возрастные периоды у представителей разного пола. </w:t>
      </w:r>
      <w:r>
        <w:rPr>
          <w:sz w:val="28"/>
        </w:rPr>
        <w:br/>
        <w:t xml:space="preserve">Пиелонефрит может быть самостоятельным заболеванием, но чаще осложняет течение различных заболеваний (мочекаменная болезнь, аденома предстательной </w:t>
      </w:r>
      <w:r>
        <w:rPr>
          <w:sz w:val="28"/>
        </w:rPr>
        <w:t xml:space="preserve">железы, заболевания женских половых органов, опухоли мочеполовой системы, сахарный диабет) или возникает как послеоперационное осложнение. </w:t>
      </w:r>
      <w:r>
        <w:rPr>
          <w:sz w:val="28"/>
        </w:rPr>
        <w:br/>
        <w:t>Неосложненные инфекции почек возникают при отсутствии структурных изменений у больных без серьезных сопутствующих за</w:t>
      </w:r>
      <w:r>
        <w:rPr>
          <w:sz w:val="28"/>
        </w:rPr>
        <w:t xml:space="preserve">болеваний; они, как правило, наблюдаются в амбулаторной практике. </w:t>
      </w:r>
      <w:r>
        <w:rPr>
          <w:sz w:val="28"/>
        </w:rPr>
        <w:br/>
        <w:t>Осложненные инфекции возникают у больных с различными обструктивными уропатиями, на фоне катетеризации мочевого пузыря, а также у больных с сопутствующей патологией (сахарный диабет, застой</w:t>
      </w:r>
      <w:r>
        <w:rPr>
          <w:sz w:val="28"/>
        </w:rPr>
        <w:t xml:space="preserve">ная сердечная недостаточность, иммуносупрессивная терапия и др.). У больных пожилого возраста закономерны осложненные инфекции [1]. </w:t>
      </w:r>
      <w:r>
        <w:rPr>
          <w:sz w:val="28"/>
        </w:rPr>
        <w:br/>
        <w:t>Особое место занимает старческий пиелонефрит - основная проблема гериатрической нефрологической клиники. Его частота возрас</w:t>
      </w:r>
      <w:r>
        <w:rPr>
          <w:sz w:val="28"/>
        </w:rPr>
        <w:t>тает с каждым десятилетием жизни пожилого человека, достигая на десятом десятилетии 45% у мужчин и 40% у женщин.</w:t>
      </w:r>
      <w:r>
        <w:rPr>
          <w:sz w:val="28"/>
        </w:rPr>
        <w:br/>
        <w:t>В настоящей работе не ставилось задачи подробного обсуждения всех аспектов данного заболевания, а основное внимание уделяется вопросам антибакт</w:t>
      </w:r>
      <w:r>
        <w:rPr>
          <w:sz w:val="28"/>
        </w:rPr>
        <w:t xml:space="preserve">ериальной терапии пиелонефрита. Однако вкратце целесообразно остановиться на дифференциальной диагностике инфекций мочевыводящих путей, так как своевременность постановки диагноза во многом определяет прогноз лечения. </w:t>
      </w:r>
      <w:r>
        <w:rPr>
          <w:sz w:val="28"/>
        </w:rPr>
        <w:br/>
      </w:r>
    </w:p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  <w:jc w:val="center"/>
        <w:rPr>
          <w:sz w:val="36"/>
        </w:rPr>
      </w:pPr>
      <w:r>
        <w:rPr>
          <w:b/>
          <w:sz w:val="36"/>
        </w:rPr>
        <w:lastRenderedPageBreak/>
        <w:t>Этиология</w:t>
      </w: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>Наиболее частым возбуди</w:t>
      </w:r>
      <w:r>
        <w:rPr>
          <w:sz w:val="28"/>
        </w:rPr>
        <w:t>телем инфекций мочевыводящих путей и пиелонефрита является кишечная палочка, реже встречаются другие грамотрицательные бактерии, стафилококки и энтерококки. Наблюдаются особенности этиологической структуры пиелонефрита в зависимости от остроты процесса и у</w:t>
      </w:r>
      <w:r>
        <w:rPr>
          <w:sz w:val="28"/>
        </w:rPr>
        <w:t xml:space="preserve">словий возникновения заболевания (табл. 2). При пиелонефрите у амбулаторных больных (остром и хроническом) в этиологии заболевания преобладает </w:t>
      </w:r>
      <w:r>
        <w:rPr>
          <w:i/>
          <w:sz w:val="28"/>
        </w:rPr>
        <w:t>E.coli</w:t>
      </w:r>
      <w:r>
        <w:rPr>
          <w:sz w:val="28"/>
        </w:rPr>
        <w:t>, значение других микроорганизмов ограничено. В то же время при пиелонефрите, возникшем в стационаре (госпи</w:t>
      </w:r>
      <w:r>
        <w:rPr>
          <w:sz w:val="28"/>
        </w:rPr>
        <w:t xml:space="preserve">тальный пиелонефрит), существенно увеличивается спектр потенциальных возбудителей заболевания, причем возрастает значение и грамположительных микроорганизмов - энтерококков, стафилококков (в основном </w:t>
      </w:r>
      <w:r>
        <w:rPr>
          <w:i/>
          <w:sz w:val="28"/>
        </w:rPr>
        <w:t>S. saprophyticus</w:t>
      </w:r>
      <w:r>
        <w:rPr>
          <w:sz w:val="28"/>
        </w:rPr>
        <w:t>). У больных, находящихся в отделениях и</w:t>
      </w:r>
      <w:r>
        <w:rPr>
          <w:sz w:val="28"/>
        </w:rPr>
        <w:t>нтенсивной терапии, увеличивается этиологическое значение синегнойной палочки и других неферментирующих грамотрицательных бактерий, а также энтерококков и грибов. Указанные особенности этиологической структуры пиелонефрита необходимо учитывать при планиров</w:t>
      </w:r>
      <w:r>
        <w:rPr>
          <w:sz w:val="28"/>
        </w:rPr>
        <w:t xml:space="preserve">ании антибиотикотерапии. </w:t>
      </w:r>
      <w:r>
        <w:rPr>
          <w:sz w:val="28"/>
        </w:rPr>
        <w:br/>
        <w:t>Примерно в 20% случаев пиелонефрита наблюдаются микробные ассоциации, особенно у больных в стационаре и с постоянным катетером. В течение болезни часто наблюдается смена возбудителя инфекции, появляются, как правило, полирезистент</w:t>
      </w:r>
      <w:r>
        <w:rPr>
          <w:sz w:val="28"/>
        </w:rPr>
        <w:t>ные формы микроорганизмов, особенно при бесконтрольном и бессистемном применении антибиотиков. Следует отметить, что собственная мочевая флора больного при поступлении в стационар очень быстро (в течение 2-3 сут) замещается на внутрибольничные штаммы бакте</w:t>
      </w:r>
      <w:r>
        <w:rPr>
          <w:sz w:val="28"/>
        </w:rPr>
        <w:t xml:space="preserve">рий. Поэтому пиелонефрит, развившийся в стационаре, характеризуется более серьезным прогнозом и упорным течением. </w:t>
      </w: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</w:pPr>
      <w:r>
        <w:rPr>
          <w:b/>
        </w:rPr>
        <w:t>Таблица 1. Диагностика инфекций мочевыводящих путей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1"/>
        <w:gridCol w:w="1"/>
        <w:gridCol w:w="1785"/>
        <w:gridCol w:w="1618"/>
        <w:gridCol w:w="1704"/>
        <w:gridCol w:w="1704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Симптомы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Негонококковый уретрит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Острый цистит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Острый простатит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Пиелонефрит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Лихор</w:t>
            </w:r>
            <w:r>
              <w:rPr>
                <w:sz w:val="20"/>
              </w:rPr>
              <w:t>адка &gt; 38° С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Ознобы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Дизурия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Боли в пояснице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Боли внизу живота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Выделения из уретры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Лейкоцитоз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Лейкоцитурия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 *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 **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Гематурия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Цилиндрурия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Бактериурия</w:t>
            </w:r>
          </w:p>
        </w:tc>
        <w:tc>
          <w:tcPr>
            <w:tcW w:w="16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 *</w:t>
            </w:r>
            <w:r>
              <w:rPr>
                <w:sz w:val="20"/>
              </w:rPr>
              <w:t xml:space="preserve"> (&gt;10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 (&gt;10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+/- ** (&gt;10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+ (&gt;10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9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Примечание. * - преимущественно в первой порции при трехстаканной пробе;</w:t>
            </w:r>
            <w:r>
              <w:rPr>
                <w:sz w:val="20"/>
              </w:rPr>
              <w:br/>
              <w:t>** - в первой и средней порциях при трехстаканной пробе.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  <w:tc>
          <w:tcPr>
            <w:gridSpan w:val="5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</w:tr>
    </w:tbl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</w:pPr>
      <w:r>
        <w:rPr>
          <w:b/>
        </w:rPr>
        <w:t>Таблица 2. Микроорганизмы, вызывающие инфекцию мочевыводящих путей</w:t>
      </w:r>
      <w:r>
        <w:rPr>
          <w:b/>
        </w:rPr>
        <w:t xml:space="preserve"> и пиелонефрит (в %) [2, 3, 4]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703"/>
        <w:gridCol w:w="1704"/>
        <w:gridCol w:w="1704"/>
        <w:gridCol w:w="1"/>
        <w:gridCol w:w="1703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8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Микроорганизмы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Амбулаторные больные</w:t>
            </w:r>
          </w:p>
        </w:tc>
        <w:tc>
          <w:tcPr>
            <w:tcW w:w="3408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Стационарные больные</w:t>
            </w:r>
          </w:p>
        </w:tc>
        <w:tc>
          <w:tcPr>
            <w:gridSpan w:val="2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t>острая инфекция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t>хроническая инфекция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t>отделения общего профиля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t>отделения интенсивной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Escherichia coli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90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75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42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Proteus spp.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8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Klebsiella/Enteroba</w:t>
            </w:r>
            <w:r>
              <w:rPr>
                <w:sz w:val="20"/>
              </w:rPr>
              <w:t>cter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15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Enterococcus spp.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15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Staphylococcus spp.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7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Streptococcus spp.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2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Pseudomonas aeruginosa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&lt; 1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7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Другие грамотрицательные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8</w:t>
            </w:r>
          </w:p>
        </w:tc>
        <w:tc>
          <w:tcPr>
            <w:tcW w:w="17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10</w:t>
            </w:r>
          </w:p>
        </w:tc>
      </w:tr>
    </w:tbl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 xml:space="preserve">Пиелонефрит является инфекционным воспалительным заболеванием почек </w:t>
      </w:r>
      <w:r>
        <w:rPr>
          <w:sz w:val="28"/>
        </w:rPr>
        <w:t>с поражением лоханки и чашечек, паренхимы и интерстициальной ткани. В острую фазу заболевания, как правило, отмечается бактериемия. Клинические симптомы сепсиса могут наблюдаться у 30% больных пиелонефритом [2]. Обострение хронического пиелонефрита, обусло</w:t>
      </w:r>
      <w:r>
        <w:rPr>
          <w:sz w:val="28"/>
        </w:rPr>
        <w:t xml:space="preserve">вленного грамотрицательными бактериями, может быть причиной развития бактериемического шока и острой почечной недостаточности. </w:t>
      </w:r>
      <w:r>
        <w:rPr>
          <w:sz w:val="28"/>
        </w:rPr>
        <w:br/>
      </w:r>
    </w:p>
    <w:p w:rsidR="00000000" w:rsidRDefault="00FE2A2D">
      <w:pPr>
        <w:pStyle w:val="Normal"/>
      </w:pPr>
    </w:p>
    <w:p w:rsidR="00000000" w:rsidRDefault="00FE2A2D">
      <w:pPr>
        <w:pStyle w:val="Normal"/>
      </w:pPr>
    </w:p>
    <w:p w:rsidR="00000000" w:rsidRDefault="00FE2A2D">
      <w:pPr>
        <w:pStyle w:val="Normal"/>
      </w:pPr>
    </w:p>
    <w:p w:rsidR="00000000" w:rsidRDefault="00FE2A2D">
      <w:pPr>
        <w:pStyle w:val="Normal"/>
      </w:pPr>
    </w:p>
    <w:p w:rsidR="00000000" w:rsidRDefault="00FE2A2D">
      <w:pPr>
        <w:pStyle w:val="Normal"/>
      </w:pPr>
      <w:r>
        <w:rPr>
          <w:b/>
        </w:rPr>
        <w:t>Таблица 4. Эмпирическая антибактериальная терапия пиелонефрита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"/>
        <w:gridCol w:w="1"/>
        <w:gridCol w:w="2838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Пиелонефрит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Рекомендуемый режим терапии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Острый и</w:t>
            </w:r>
            <w:r>
              <w:rPr>
                <w:sz w:val="20"/>
              </w:rPr>
              <w:t xml:space="preserve">ли обострение хронического - </w:t>
            </w:r>
          </w:p>
          <w:p w:rsidR="00000000" w:rsidRDefault="00FE2A2D">
            <w:pPr>
              <w:pStyle w:val="Normal"/>
            </w:pPr>
            <w:r>
              <w:rPr>
                <w:sz w:val="20"/>
              </w:rPr>
              <w:t>вне стационара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Амоксициллин/клавуланат 0,375 г 3 раза</w:t>
            </w:r>
            <w:r>
              <w:rPr>
                <w:sz w:val="20"/>
              </w:rPr>
              <w:br/>
              <w:t>Цефуроксим аксетил 0,25 г 2 раза</w:t>
            </w:r>
            <w:r>
              <w:rPr>
                <w:sz w:val="20"/>
              </w:rPr>
              <w:br/>
              <w:t>Цефтибутен 0,4 г 1 раз</w:t>
            </w:r>
            <w:r>
              <w:rPr>
                <w:sz w:val="20"/>
              </w:rPr>
              <w:br/>
              <w:t>Фторхинолон внутрь*</w:t>
            </w:r>
            <w:r>
              <w:rPr>
                <w:sz w:val="20"/>
              </w:rPr>
              <w:br/>
              <w:t>Ко-тримоксазол 0,96 г 2 раза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Целесообразно назначение препаратов внутрь. При тяжелом течении-сту</w:t>
            </w:r>
            <w:r>
              <w:rPr>
                <w:sz w:val="20"/>
              </w:rPr>
              <w:t>пенчатая терапия (внутривенно и внутрь ). Длительность лечения : острый пиелонефрит - 10-14 дней, обострение хронического -14-21 день. При персистировании возбудителя в конце лечения целесообразно продлить курс терапии на 2 нед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Госпитальный - отделения об</w:t>
            </w:r>
            <w:r>
              <w:rPr>
                <w:sz w:val="20"/>
              </w:rPr>
              <w:t>щего профиля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Фторхинолон внутривенно** и внутрь</w:t>
            </w:r>
            <w:r>
              <w:rPr>
                <w:sz w:val="20"/>
              </w:rPr>
              <w:br/>
              <w:t>Гентамицин 0,8 г 3 раза</w:t>
            </w:r>
            <w:r>
              <w:rPr>
                <w:sz w:val="20"/>
              </w:rPr>
              <w:br/>
              <w:t>Цефалоспорин III поколения ***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Длительность лечения 10-21 день. Обязательны посевы мочи до и на фоне терапии. Парентеральное введение антибиотика в течении 3-5 дней до нормализации тем</w:t>
            </w:r>
            <w:r>
              <w:rPr>
                <w:sz w:val="20"/>
              </w:rPr>
              <w:t>пературы, далее продолжение лечения внутрь.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Госпитальный - отделения реанимации и интенсивной терапии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  <w:sz w:val="20"/>
              </w:rPr>
              <w:t>Антипсевдомонадные цефалоспорины III-IV поколения: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Цефтазидим 1 г 3 раза</w:t>
            </w:r>
            <w:r>
              <w:rPr>
                <w:sz w:val="20"/>
              </w:rPr>
              <w:br/>
              <w:t>Цефоперазон 2 г 2 раза</w:t>
            </w:r>
            <w:r>
              <w:rPr>
                <w:sz w:val="20"/>
              </w:rPr>
              <w:br/>
              <w:t>Цефепим 2 г 2 раза</w:t>
            </w:r>
            <w:r>
              <w:rPr>
                <w:sz w:val="20"/>
              </w:rPr>
              <w:br/>
              <w:t>Фторхинолоны внутривенно **</w:t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>Защищенные</w:t>
            </w:r>
            <w:r>
              <w:rPr>
                <w:b/>
                <w:sz w:val="20"/>
              </w:rPr>
              <w:t xml:space="preserve"> пенициллины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br/>
              <w:t>Тикарциллин/клавуланат 3,1 г 4-6 раз</w:t>
            </w:r>
            <w:r>
              <w:rPr>
                <w:sz w:val="20"/>
              </w:rPr>
              <w:br/>
            </w:r>
            <w:r>
              <w:rPr>
                <w:b/>
                <w:sz w:val="20"/>
              </w:rPr>
              <w:t>Карбапенемы: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Имипенем 0,5-1 г 3 раза</w:t>
            </w:r>
            <w:r>
              <w:t xml:space="preserve"> </w:t>
            </w:r>
          </w:p>
          <w:p w:rsidR="00000000" w:rsidRDefault="00FE2A2D">
            <w:pPr>
              <w:pStyle w:val="Normal"/>
            </w:pPr>
            <w:r>
              <w:rPr>
                <w:sz w:val="20"/>
              </w:rPr>
              <w:t>Меропенем 0,5-1 г 3 раза</w:t>
            </w:r>
          </w:p>
        </w:tc>
        <w:tc>
          <w:tcPr>
            <w:tcW w:w="28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Длительность лечения 7-14 дней. Обязательны посевы мочи и крови до и на фоне терапии.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0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Примечание. * - норфлоксацин 0,4 г 2 раза, ципрофлоксац</w:t>
            </w:r>
            <w:r>
              <w:rPr>
                <w:sz w:val="20"/>
              </w:rPr>
              <w:t>ин 0,25 г 2 раза, офлоксацин 0,2 г 2 раза, ломефлоксацин 0,4 г 1 раз, пефлоксацин 0,4 г 2 раза; ** - ципрофлоксацин 0,2 г 2 раза, офлоксацин 0,2 г 2 раза, пефлоксацин 0,4 г 2 раза; *** - цефотаксим 1-2 г 3 раза, цефтриаксон 1-2 г 1 раз, цефтазидим 1 г 3 ра</w:t>
            </w:r>
            <w:r>
              <w:rPr>
                <w:sz w:val="20"/>
              </w:rPr>
              <w:t>за, цефоперазон 2 г 2 раза.</w:t>
            </w:r>
          </w:p>
        </w:tc>
        <w:tc>
          <w:tcPr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  <w:tc>
          <w:tcPr>
            <w:gridSpan w:val="3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00000" w:rsidRDefault="00FE2A2D">
            <w:pPr>
              <w:pStyle w:val="Normal"/>
            </w:pPr>
          </w:p>
        </w:tc>
      </w:tr>
    </w:tbl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>В отличие от инфекций других отделов мочевыводящей системы для пиелонефрита характерна выраженная клиническая симптоматика - высокая лихорадка, ознобы, выраженная интоксикация, а также боли в пояснице, усиливающиеся при паль</w:t>
      </w:r>
      <w:r>
        <w:rPr>
          <w:sz w:val="28"/>
        </w:rPr>
        <w:t>пации, ходьбе, поколачивании (табл. 1); как правило, наблюдаются изменения в анализе крови - лейкоцитоз со сдвигом формулы влево, повышение СРБ, может отмечаться увеличение мочевины и креатинина. Необходимо проводить дифференциальный диагноз с острым холец</w:t>
      </w:r>
      <w:r>
        <w:rPr>
          <w:sz w:val="28"/>
        </w:rPr>
        <w:t>иститом, аппендицитом, пневмонией, которые могут иметь сходную симптоматику. В то же время дизурические явления, наблюдающиеся при инфекциях нижних отделов мочевыводящих путей (цистит, уретрит, простатит), не характерны для пиелонефрита и возникают в случа</w:t>
      </w:r>
      <w:r>
        <w:rPr>
          <w:sz w:val="28"/>
        </w:rPr>
        <w:t>е вовлечения в процесс нижележащих отделов. У больных пожилого возраста симптоматика пиелонефрита может быть скудной.</w:t>
      </w:r>
    </w:p>
    <w:p w:rsidR="00000000" w:rsidRDefault="00FE2A2D">
      <w:pPr>
        <w:pStyle w:val="Normal"/>
        <w:rPr>
          <w:sz w:val="28"/>
        </w:rPr>
      </w:pPr>
    </w:p>
    <w:p w:rsidR="00000000" w:rsidRDefault="00FE2A2D">
      <w:pPr>
        <w:pStyle w:val="Normal"/>
      </w:pPr>
      <w:r>
        <w:rPr>
          <w:b/>
        </w:rPr>
        <w:t>Таблица 5. Характеристика лекарственных растений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Лекарственное растение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b/>
              </w:rPr>
              <w:t>Механизм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Брусничный лист, брусника (ягода)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Противовоспа</w:t>
            </w:r>
            <w:r>
              <w:rPr>
                <w:sz w:val="20"/>
              </w:rPr>
              <w:t>лительное, диуретическое, антисептическое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Зверобой продырявленный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Клюква (ягода)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Антисептическое, мочегонное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Крапива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Антисептическое, регенерирующее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Мать-и-мачеха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Петрушка кудрявая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Диуретическое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Подорожник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</w:t>
            </w:r>
            <w:r>
              <w:rPr>
                <w:sz w:val="20"/>
              </w:rPr>
              <w:t>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Почечный чай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Диуретическое, спазмолитическое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Ромашка аптечная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Противовоспалительное, антисептическое, анальгетическое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Толокнянка (медвежье ушко)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Противовоспалительное, антисептическое, диуретическое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Фиалка трехцветная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Противовоспалительное, диурети</w:t>
            </w:r>
            <w:r>
              <w:rPr>
                <w:sz w:val="20"/>
              </w:rPr>
              <w:t>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Хвощ полевой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Антисептическое, диуретическое, дезинтоксикационное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Чеснок посевной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Антисептическое, дезагрегантное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Шиповник</w:t>
            </w:r>
          </w:p>
        </w:tc>
        <w:tc>
          <w:tcPr>
            <w:tcW w:w="4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00000" w:rsidRDefault="00FE2A2D">
            <w:pPr>
              <w:pStyle w:val="Normal"/>
            </w:pPr>
            <w:r>
              <w:rPr>
                <w:sz w:val="20"/>
              </w:rPr>
              <w:t>Диуретическое</w:t>
            </w:r>
          </w:p>
        </w:tc>
      </w:tr>
    </w:tbl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rPr>
          <w:b/>
        </w:rPr>
      </w:pPr>
    </w:p>
    <w:p w:rsidR="00000000" w:rsidRDefault="00FE2A2D">
      <w:pPr>
        <w:pStyle w:val="Normal"/>
        <w:jc w:val="center"/>
        <w:rPr>
          <w:sz w:val="36"/>
        </w:rPr>
      </w:pPr>
      <w:r>
        <w:rPr>
          <w:b/>
          <w:sz w:val="36"/>
        </w:rPr>
        <w:t>Этиологическая диагностика</w:t>
      </w: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>Основой диагностики инфекций мочевыводящих путей является определение достовер</w:t>
      </w:r>
      <w:r>
        <w:rPr>
          <w:sz w:val="28"/>
        </w:rPr>
        <w:t>ной бактериурии путем количественного определения бактерий в средней порции мочи, полученной при свободном мочеиспускании. В некоторых случаях (у больных с мочевым катетером) достоверные результаты могут быть получены при надлобковой пункции мочевого пузыр</w:t>
      </w:r>
      <w:r>
        <w:rPr>
          <w:sz w:val="28"/>
        </w:rPr>
        <w:t>я.</w:t>
      </w:r>
      <w:r>
        <w:rPr>
          <w:sz w:val="28"/>
        </w:rPr>
        <w:br/>
        <w:t>Ранее считалось, что истинная бактериурия диагностируется при наличии 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бактерий в 1 мл мочи. Последние данные свидетельствуют, что достоверный диагноз бактериурии может быть поставлен при меньшем количестве микробных тел в единице объема мочи (см. та</w:t>
      </w:r>
      <w:r>
        <w:rPr>
          <w:sz w:val="28"/>
        </w:rPr>
        <w:t xml:space="preserve">бл. 1). </w:t>
      </w:r>
      <w:r>
        <w:rPr>
          <w:sz w:val="28"/>
        </w:rPr>
        <w:br/>
        <w:t>Важным этапом этиологической диагностики пиелонефрита является окраска мочи по Граму, что позволяет быстро получить предварительные ориентировочные данные о характере возбудителя. Культуральное исследование мочи (посев на питательные среды, выделе</w:t>
      </w:r>
      <w:r>
        <w:rPr>
          <w:sz w:val="28"/>
        </w:rPr>
        <w:t>ние чистой культуры возбудителя и определение его чувствительности к препаратам) желательно проводить во всех случаях, особенно в стационаре. При подозрении на бактериемию (высокая лихорадка, ознобы), а также в отделениях интенсивной терапии обязательно ис</w:t>
      </w:r>
      <w:r>
        <w:rPr>
          <w:sz w:val="28"/>
        </w:rPr>
        <w:t>следование крови на стерильность.</w:t>
      </w:r>
      <w:r>
        <w:rPr>
          <w:sz w:val="28"/>
        </w:rPr>
        <w:br/>
        <w:t xml:space="preserve">Необходимым условием достоверности результатов бактериологического исследования является правильность забора мочи и крови (табл. 3). Мочу для проведения микробиологического исследования следует забирать </w:t>
      </w:r>
      <w:r>
        <w:rPr>
          <w:b/>
          <w:i/>
          <w:sz w:val="28"/>
        </w:rPr>
        <w:t>до начала антибакте</w:t>
      </w:r>
      <w:r>
        <w:rPr>
          <w:b/>
          <w:i/>
          <w:sz w:val="28"/>
        </w:rPr>
        <w:t>риальной терапии</w:t>
      </w:r>
      <w:r>
        <w:rPr>
          <w:sz w:val="28"/>
        </w:rPr>
        <w:t>. В тех случаях, когда больной получает антибактериальные препараты, их следует отменить за 2-3 дня до исследования.</w:t>
      </w: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jc w:val="center"/>
        <w:rPr>
          <w:sz w:val="36"/>
        </w:rPr>
      </w:pPr>
      <w:r>
        <w:rPr>
          <w:b/>
          <w:sz w:val="36"/>
        </w:rPr>
        <w:t>Лечение</w:t>
      </w: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>Лечение пиелонефрита должно быть комплексным, включающим следующие обязательные аспекты: устранение причин</w:t>
      </w:r>
      <w:r>
        <w:rPr>
          <w:sz w:val="28"/>
        </w:rPr>
        <w:t>, вызывающих нарушение пассажа мочи или почечного кровообращения (артериального или венозного); антибактериальная терапия (эмпирическая и этиотропная); лечение нарушений коагуляции; симптоматическая терапия; профилактика рецидивов и обострений.</w:t>
      </w:r>
      <w:r>
        <w:rPr>
          <w:sz w:val="28"/>
        </w:rPr>
        <w:br/>
        <w:t>Восстановле</w:t>
      </w:r>
      <w:r>
        <w:rPr>
          <w:sz w:val="28"/>
        </w:rPr>
        <w:t>ние оттока мочи достигается прежде всего применением того или иного метода хирургического вмешательства. Нередко после подобных операций удается сравнительно легко получить стойкую ремиссию заболевания без длительной антибактериальной терапии. Без восстано</w:t>
      </w:r>
      <w:r>
        <w:rPr>
          <w:sz w:val="28"/>
        </w:rPr>
        <w:t>вления пассажа мочи применение антибиотиков обычно не дает устойчивого эффекта.</w:t>
      </w:r>
      <w:r>
        <w:rPr>
          <w:sz w:val="28"/>
        </w:rPr>
        <w:br/>
        <w:t>В тяжелых случаях, при развитии гнойного пиелонефрита и клинической картины уросепсиса на фоне остроты инфекционного процесса (особенно осложненного острой почечной недостаточн</w:t>
      </w:r>
      <w:r>
        <w:rPr>
          <w:sz w:val="28"/>
        </w:rPr>
        <w:t>остью), проводится терапия ДВС-синдрома: гепарин подкожно в дозе 10000 ЕД в сутки, дезагреганты (пентоксифиллин, тиклопидин), переливания (струйное и в объеме не менее 1 л) свежезамороженной плазмы. Последняя необходима при появлении кровоточивости, развит</w:t>
      </w:r>
      <w:r>
        <w:rPr>
          <w:sz w:val="28"/>
        </w:rPr>
        <w:t xml:space="preserve">ии острой почечной недостаточности, выраженной интоксикации [5]. </w:t>
      </w:r>
      <w:r>
        <w:rPr>
          <w:sz w:val="28"/>
        </w:rPr>
        <w:br/>
        <w:t>Важное значение в лечении пиелонефрита имеют противовоспалительные средства, немедикаментозные мероприятия - ограничение двигательной активности в острый период, поддержание достаточного пит</w:t>
      </w:r>
      <w:r>
        <w:rPr>
          <w:sz w:val="28"/>
        </w:rPr>
        <w:t>ьевого режима. Основная роль в лечении пиелонефрита принадлежит антибактериальным средствам.</w:t>
      </w: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jc w:val="center"/>
        <w:rPr>
          <w:sz w:val="36"/>
        </w:rPr>
      </w:pPr>
      <w:r>
        <w:rPr>
          <w:b/>
          <w:sz w:val="36"/>
        </w:rPr>
        <w:t>Антибактериальная терапия</w:t>
      </w: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>В идеале антибактериальная терапия пиелонефрита должна быть этиотропной, т.е. учитывающей выделенного возбудителя и его чувствит</w:t>
      </w:r>
      <w:r>
        <w:rPr>
          <w:sz w:val="28"/>
        </w:rPr>
        <w:t>ельность к антибиотикам. В связи с тем, что материал для микробиологического исследования при пиелонефрите доступен всегда и при правильной организации лабораторных исследований удается выделить ведущего возбудителя, эмпирический выбор антибиотиков следует</w:t>
      </w:r>
      <w:r>
        <w:rPr>
          <w:sz w:val="28"/>
        </w:rPr>
        <w:t xml:space="preserve"> признать адекватным только на начальном этапе терапии. При получении результатов микробиологического исследования терапия должна быть откорректирована. </w:t>
      </w:r>
      <w:r>
        <w:rPr>
          <w:sz w:val="28"/>
        </w:rPr>
        <w:br/>
        <w:t>Выбор антибактериальных препаратов должен основываться на спектре их антимикробной активности и уровне</w:t>
      </w:r>
      <w:r>
        <w:rPr>
          <w:sz w:val="28"/>
        </w:rPr>
        <w:t xml:space="preserve"> чувствительности к ним основных возбудителей пиелонефрита. Эффективность антибактериальных препаратов для лечения пиелонефрита, возникшего вне стационара, может быть легко предсказуема с учетом данных региональных фармакоэпидемиологических исследований. В</w:t>
      </w:r>
      <w:r>
        <w:rPr>
          <w:sz w:val="28"/>
        </w:rPr>
        <w:t xml:space="preserve"> настоящее время не могут быть рекомендованы для лечения пиелонефрита аминопенициллины (ампициллин, амоксициллин), цефалоспорины I поколения (цефалексин, цефрадин, цефазолин), нитроксолин, так как резистентность основного возбудителя пиелонефрита - кишечно</w:t>
      </w:r>
      <w:r>
        <w:rPr>
          <w:sz w:val="28"/>
        </w:rPr>
        <w:t xml:space="preserve">й палочки - к этим препаратам превышает 20%. </w:t>
      </w:r>
      <w:r>
        <w:rPr>
          <w:sz w:val="28"/>
        </w:rPr>
        <w:br/>
        <w:t>Гораздо сложнее прогнозировать эффективную антибактериальную терапию госпитального пиелонефрита, так как имеются существенные различия между медицинскими учреждениями в уровне резистентности микроорганизмов. Пл</w:t>
      </w:r>
      <w:r>
        <w:rPr>
          <w:sz w:val="28"/>
        </w:rPr>
        <w:t>анирование антибактериальной терапии пиелонефрита в стационаре должно основываться на данных локального мониторирования внутрибольничных возбудителей и их чувствительности.</w:t>
      </w:r>
      <w:r>
        <w:rPr>
          <w:sz w:val="28"/>
        </w:rPr>
        <w:br/>
        <w:t>Важным условием эффективности антибактериальной терапии пиелонефрита является созда</w:t>
      </w:r>
      <w:r>
        <w:rPr>
          <w:sz w:val="28"/>
        </w:rPr>
        <w:t>ние в моче и тканях почек бактерицидных концентраций антибиотиков. Кроме того, учитывая высокий процент бактериемии, наблюдающийся при пиелонефрите, в отличие от инфекций мочевыводящих путей других локализаций, антибиотик должен создавать высокие сывороточ</w:t>
      </w:r>
      <w:r>
        <w:rPr>
          <w:sz w:val="28"/>
        </w:rPr>
        <w:t>ные концентрации. В этой связи при пиелонефрите не могут считаться адекватными такие антибактериальные препараты, как тетрациклины, хлорамфеникол, нитрофураны, нефторированные хинолоны, концентрации которых в крови или тканях почки обычно ниже значений МПК</w:t>
      </w:r>
      <w:r>
        <w:rPr>
          <w:sz w:val="28"/>
        </w:rPr>
        <w:t xml:space="preserve"> основных возбудителей заболевания.</w:t>
      </w:r>
      <w:r>
        <w:rPr>
          <w:sz w:val="28"/>
        </w:rPr>
        <w:br/>
        <w:t>При планировании антибактериальной терапии пиелонефрита целесообразно выделить группы больных в зависимости от условий возникновения заболевания в связи с отчетливыми различиями в этиологии, которые были обсуждены ранее.</w:t>
      </w:r>
      <w:r>
        <w:rPr>
          <w:sz w:val="28"/>
        </w:rPr>
        <w:t xml:space="preserve"> Программа антибактериальной терапии пиелонефрита представлена в табл. 4.</w:t>
      </w:r>
    </w:p>
    <w:p w:rsidR="00000000" w:rsidRDefault="00FE2A2D">
      <w:pPr>
        <w:pStyle w:val="Normal"/>
        <w:rPr>
          <w:b/>
          <w:sz w:val="28"/>
        </w:rPr>
      </w:pPr>
    </w:p>
    <w:p w:rsidR="00000000" w:rsidRDefault="00FE2A2D">
      <w:pPr>
        <w:pStyle w:val="Normal"/>
        <w:jc w:val="center"/>
        <w:rPr>
          <w:sz w:val="36"/>
        </w:rPr>
      </w:pPr>
      <w:r>
        <w:rPr>
          <w:b/>
          <w:sz w:val="36"/>
        </w:rPr>
        <w:t>Профилактика рецидивов и повторных инфекций</w:t>
      </w:r>
    </w:p>
    <w:p w:rsidR="00000000" w:rsidRDefault="00FE2A2D">
      <w:pPr>
        <w:pStyle w:val="Normal"/>
        <w:rPr>
          <w:sz w:val="28"/>
        </w:rPr>
      </w:pPr>
      <w:r>
        <w:rPr>
          <w:sz w:val="28"/>
        </w:rPr>
        <w:t>При частых обострениях пиелонефрита общепринятым подходом является назначение ежемесячных профилактических курсов (1-2 нед) антибактериал</w:t>
      </w:r>
      <w:r>
        <w:rPr>
          <w:sz w:val="28"/>
        </w:rPr>
        <w:t>ьных препаратов. Однако к профилактическому применению антибактериальных средств при пиелонефрите следует относиться крайне осторожно. В настоящее время нет достоверных данных, свидетельствующих об эффективности и целесообразности профилактических курсов а</w:t>
      </w:r>
      <w:r>
        <w:rPr>
          <w:sz w:val="28"/>
        </w:rPr>
        <w:t>нтибактериальных препаратов при пиелонефрите. Кроме того, следует учитывать, что профилактическое применение антибиотиков способствует селекции устойчивых штаммов микроорганизмов. Тем более следует признать необоснованным профилактическое назначение антиби</w:t>
      </w:r>
      <w:r>
        <w:rPr>
          <w:sz w:val="28"/>
        </w:rPr>
        <w:t xml:space="preserve">отиков у больных пожилого возраста и у пациентов с постоянным мочевым катетером, так как риск осложнений терапии существенно превышает потенциальную пользу. </w:t>
      </w:r>
      <w:r>
        <w:rPr>
          <w:sz w:val="28"/>
        </w:rPr>
        <w:br/>
        <w:t>Гораздо более оправданы немедикаментозные мероприятия по профилактике обострений пиелонефрита, кот</w:t>
      </w:r>
      <w:r>
        <w:rPr>
          <w:sz w:val="28"/>
        </w:rPr>
        <w:t>орые включают адекватный питьевой режим - 1,2-1,5 л ежедневно (осторожно у больных с нарушенной функцией сердца), применение фитотерапии. При болевом синдроме применяют спазмоанальгетики (дротаверина гидрохлорид и др.), нестероидные противовоспалительные п</w:t>
      </w:r>
      <w:r>
        <w:rPr>
          <w:sz w:val="28"/>
        </w:rPr>
        <w:t>репараты, в том числе в виде ректальных свечей. В отношении фитотерапии, хотя и не существует достоверных доказательств ее эффективности, следует относиться благожелательно, так как она по крайней мере способствует улучшению мочевыведения и не приводит к р</w:t>
      </w:r>
      <w:r>
        <w:rPr>
          <w:sz w:val="28"/>
        </w:rPr>
        <w:t>азвитию серьезных нежелательных явлений.</w:t>
      </w:r>
      <w:r>
        <w:rPr>
          <w:sz w:val="28"/>
        </w:rPr>
        <w:br/>
        <w:t xml:space="preserve">При выборе фитотерапии следует учитывать наличие следующих благоприятных для почечной функции эффектов лекарственных растений: </w:t>
      </w:r>
      <w:r>
        <w:rPr>
          <w:sz w:val="28"/>
        </w:rPr>
        <w:br/>
        <w:t>- мочегонное действие, зависящее от содержания эфирных масел, сапонинов, силикатов (мож</w:t>
      </w:r>
      <w:r>
        <w:rPr>
          <w:sz w:val="28"/>
        </w:rPr>
        <w:t>жевельник, петрушка, листья березы);</w:t>
      </w:r>
      <w:r>
        <w:rPr>
          <w:sz w:val="28"/>
        </w:rPr>
        <w:br/>
        <w:t>- противовоспалительное действие, связанное с присутствием танинов и арбутина (листья брусники, толокнянки);</w:t>
      </w:r>
      <w:r>
        <w:rPr>
          <w:sz w:val="28"/>
        </w:rPr>
        <w:br/>
        <w:t>- антисептическое действие, обусловленное фитонцидами (чеснок, лук, ромашка).</w:t>
      </w:r>
      <w:r>
        <w:rPr>
          <w:sz w:val="28"/>
        </w:rPr>
        <w:br/>
        <w:t>В табл. 5 приведена характеристи</w:t>
      </w:r>
      <w:r>
        <w:rPr>
          <w:sz w:val="28"/>
        </w:rPr>
        <w:t xml:space="preserve">ка некоторых лекарственных растений, применяемых при лечении хронического пиелонефрита [5]. </w:t>
      </w:r>
    </w:p>
    <w:p w:rsidR="00000000" w:rsidRDefault="00FE2A2D">
      <w:pPr>
        <w:pStyle w:val="Normal"/>
        <w:rPr>
          <w:i/>
          <w:sz w:val="28"/>
        </w:rPr>
      </w:pPr>
    </w:p>
    <w:p w:rsidR="00000000" w:rsidRDefault="00FE2A2D">
      <w:pPr>
        <w:pStyle w:val="Normal"/>
        <w:rPr>
          <w:i/>
          <w:sz w:val="28"/>
        </w:rPr>
      </w:pPr>
    </w:p>
    <w:p w:rsidR="00000000" w:rsidRDefault="00FE2A2D">
      <w:pPr>
        <w:pStyle w:val="Normal"/>
        <w:rPr>
          <w:i/>
          <w:sz w:val="28"/>
        </w:rPr>
      </w:pPr>
    </w:p>
    <w:p w:rsidR="00000000" w:rsidRDefault="00FE2A2D">
      <w:pPr>
        <w:pStyle w:val="Normal"/>
        <w:rPr>
          <w:i/>
          <w:sz w:val="28"/>
        </w:rPr>
      </w:pPr>
    </w:p>
    <w:p w:rsidR="00000000" w:rsidRDefault="00FE2A2D">
      <w:pPr>
        <w:pStyle w:val="Normal"/>
        <w:jc w:val="center"/>
        <w:rPr>
          <w:i/>
          <w:sz w:val="36"/>
        </w:rPr>
      </w:pPr>
      <w:r>
        <w:rPr>
          <w:i/>
          <w:sz w:val="36"/>
        </w:rPr>
        <w:t>Литература:</w:t>
      </w:r>
    </w:p>
    <w:p w:rsidR="00000000" w:rsidRDefault="00FE2A2D">
      <w:pPr>
        <w:pStyle w:val="Normal"/>
        <w:rPr>
          <w:sz w:val="28"/>
        </w:rPr>
      </w:pPr>
      <w:r>
        <w:rPr>
          <w:i/>
          <w:sz w:val="28"/>
        </w:rPr>
        <w:t xml:space="preserve">1. Лопаткин Н.А., Деревянко И.И. Неосложненные и осложненные инфекции мочеполовых путей: принципы антибактериальной терапии. Рус. мед. журн. 1997; </w:t>
      </w:r>
      <w:r>
        <w:rPr>
          <w:i/>
          <w:sz w:val="28"/>
        </w:rPr>
        <w:t>5 (24): 1579-88.</w:t>
      </w:r>
      <w:r>
        <w:rPr>
          <w:i/>
          <w:sz w:val="28"/>
        </w:rPr>
        <w:br/>
        <w:t>2. Дворецкий Л.И., Лазебник Л.Б., Яковлев С.В. Диагностика и лечение бактериальных инфекций у пожилых. М., Универсум Паблишинг, 1997.</w:t>
      </w:r>
      <w:r>
        <w:rPr>
          <w:i/>
          <w:sz w:val="28"/>
        </w:rPr>
        <w:br/>
        <w:t xml:space="preserve">3. Кузнецова О.П., Воробьев П.А., Яковлев С.В. Инфекции мочевыводящих путей. Рус. мед. журн. 1997; 5(2): </w:t>
      </w:r>
      <w:r>
        <w:rPr>
          <w:i/>
          <w:sz w:val="28"/>
        </w:rPr>
        <w:t>81-90.</w:t>
      </w:r>
    </w:p>
    <w:p w:rsidR="00FE2A2D" w:rsidRDefault="00FE2A2D"/>
    <w:sectPr w:rsidR="00FE2A2D">
      <w:footerReference w:type="even" r:id="rId7"/>
      <w:footerReference w:type="default" r:id="rId8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2D" w:rsidRDefault="00FE2A2D">
      <w:r>
        <w:separator/>
      </w:r>
    </w:p>
  </w:endnote>
  <w:endnote w:type="continuationSeparator" w:id="0">
    <w:p w:rsidR="00FE2A2D" w:rsidRDefault="00FE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2A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FE2A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2A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075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FE2A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2D" w:rsidRDefault="00FE2A2D">
      <w:r>
        <w:separator/>
      </w:r>
    </w:p>
  </w:footnote>
  <w:footnote w:type="continuationSeparator" w:id="0">
    <w:p w:rsidR="00FE2A2D" w:rsidRDefault="00FE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75"/>
    <w:rsid w:val="00655075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УПФР по Белгородскому району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Илья Филатов</dc:creator>
  <cp:lastModifiedBy>Igor</cp:lastModifiedBy>
  <cp:revision>2</cp:revision>
  <dcterms:created xsi:type="dcterms:W3CDTF">2024-07-19T17:36:00Z</dcterms:created>
  <dcterms:modified xsi:type="dcterms:W3CDTF">2024-07-19T17:36:00Z</dcterms:modified>
</cp:coreProperties>
</file>