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4C1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Полимиксины – новый взгляд на известные антибиотики</w:t>
      </w:r>
    </w:p>
    <w:p w:rsidR="00000000" w:rsidRDefault="004B4C1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Е.В. Щетинин, Ставропольская государственная медицинская академия, г. Ставрополь, Россия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Появление множественно-р</w:t>
      </w:r>
      <w:r>
        <w:rPr>
          <w:color w:val="000000"/>
          <w:sz w:val="24"/>
          <w:szCs w:val="24"/>
        </w:rPr>
        <w:t>езистентных возбудителей заставляет пересматривать отношение к ряду известных и давно используемых препаратов, в частности к полимиксинам – группе полипептидных антибиотиков, продуцируемых Bacillus polymyxa, и высокоактивных в отношении грамотрицательной м</w:t>
      </w:r>
      <w:r>
        <w:rPr>
          <w:color w:val="000000"/>
          <w:sz w:val="24"/>
          <w:szCs w:val="24"/>
        </w:rPr>
        <w:t xml:space="preserve">икрофлоры – Escherichia coli, Klebsiella spp., Enterobacter spp., Salmonella spp., Shigella spp., Haemophilus influenzae, Brucella spp., Pseudomonas aeruginosa, Acinetobacter spp. и др. Все виды Proteus spp., Serratia marcescens, грам(+) бактерии и многие </w:t>
      </w:r>
      <w:r>
        <w:rPr>
          <w:color w:val="000000"/>
          <w:sz w:val="24"/>
          <w:szCs w:val="24"/>
        </w:rPr>
        <w:t>анаэробы, в частности Bacteroides fragilis, нечувствительны к действию полимиксинов. В клинической практике используются полимиксин В и колистин (полимиксин Е), которые в современных условиях могут применяться лишь как препараты "глубокого" резерва при леч</w:t>
      </w:r>
      <w:r>
        <w:rPr>
          <w:color w:val="000000"/>
          <w:sz w:val="24"/>
          <w:szCs w:val="24"/>
        </w:rPr>
        <w:t>ении инфекций, вызванных грамотрицательными микроорганизмами с множественной устойчивостью к другим классам антибиотиков.</w:t>
      </w:r>
    </w:p>
    <w:p w:rsidR="00000000" w:rsidRDefault="004B4C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Актуальность проблемы терапии инфекционных болезней, вызванных полирезистентными штаммами бактерий, не вызывает сомнения. Воз</w:t>
      </w:r>
      <w:r>
        <w:rPr>
          <w:color w:val="000000"/>
          <w:sz w:val="24"/>
          <w:szCs w:val="24"/>
        </w:rPr>
        <w:t xml:space="preserve">можными путями решения этой проблемы может явиться либо синтез новых антибактериальных средств, либо оптимизация применения имеющихся на вооружении препаратов  [1].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создание и выпуск на рынок нового антибиотика связаны с затратами от 100 до 350 мл</w:t>
      </w:r>
      <w:r>
        <w:rPr>
          <w:color w:val="000000"/>
          <w:sz w:val="24"/>
          <w:szCs w:val="24"/>
        </w:rPr>
        <w:t>н долларов США [ 22,  33]. Распространение резистентности часто предшествует появлению активного препарата на рынке. Более предпочтительным решением для отечественных условий можно считать рациональное использование существующих антибиотиков. В связи с эти</w:t>
      </w:r>
      <w:r>
        <w:rPr>
          <w:color w:val="000000"/>
          <w:sz w:val="24"/>
          <w:szCs w:val="24"/>
        </w:rPr>
        <w:t>м хотелось бы обсудить перспективы применения давно известной группы противомикробных средств – полимиксинов, которые эффективны в отношении грамотрицательных возбудителей инфекций, в том числе и полирезистентных.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Полимиксины составляют группу полипептидны</w:t>
      </w:r>
      <w:r>
        <w:rPr>
          <w:color w:val="000000"/>
          <w:sz w:val="24"/>
          <w:szCs w:val="24"/>
        </w:rPr>
        <w:t>х антибиотиков с молекулярной массой около 1000, синтезируемых аэробной спорообразующей палочкой Bacillus polymyxa  [44]. Они выделены в конце 40-х годов, именно поэтому основные исследования и публикации по этим препаратам относятся к началу второй полови</w:t>
      </w:r>
      <w:r>
        <w:rPr>
          <w:color w:val="000000"/>
          <w:sz w:val="24"/>
          <w:szCs w:val="24"/>
        </w:rPr>
        <w:t>ны XX столетия. Из 5 выделенных групп природных соединений только 2 (рис.  1,  2) используются в клинике – полимиксин В и полимиксин Е (колистин). В России зарегистрированы полимиксина В сульфат и полимиксина М сульфат (фактически колистин).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6D26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876800" cy="2952750"/>
            <wp:effectExtent l="0" t="0" r="0" b="0"/>
            <wp:docPr id="1" name="Рисунок 1" descr="D:\ref\Пользователи\медицина\КМАХ - 2000, Том 2, N 3 - Антимикробные препараты - Е_В_Щетинин - Полимиксины – новый взгляд на известные антибиотики.files\068_text.files\068_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Пользователи\медицина\КМАХ - 2000, Том 2, N 3 - Антимикробные препараты - Е_В_Щетинин - Полимиксины – новый взгляд на известные антибиотики.files\068_text.files\068_r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 1. Структкра полим</w:t>
      </w:r>
      <w:r>
        <w:rPr>
          <w:color w:val="000000"/>
          <w:sz w:val="24"/>
          <w:szCs w:val="24"/>
        </w:rPr>
        <w:t>иксина В  [5]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6D264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953000" cy="2952750"/>
            <wp:effectExtent l="0" t="0" r="0" b="0"/>
            <wp:docPr id="2" name="Рисунок 2" descr="D:\ref\Пользователи\медицина\КМАХ - 2000, Том 2, N 3 - Антимикробные препараты - Е_В_Щетинин - Полимиксины – новый взгляд на известные антибиотики.files\068_text.files\068_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f\Пользователи\медицина\КМАХ - 2000, Том 2, N 3 - Антимикробные препараты - Е_В_Щетинин - Полимиксины – новый взгляд на известные антибиотики.files\068_text.files\068_r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 2. Структура колистина А и полимиксина Е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 [5]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4B4C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Механизм действия полимиксинов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полимиксины воздействуют на цитоплазматическую мембрану бактериальной клетки, взаимодействуя с фосфолипидами. Они связываются с анионными участками мембраны и по х</w:t>
      </w:r>
      <w:r>
        <w:rPr>
          <w:color w:val="000000"/>
          <w:sz w:val="24"/>
          <w:szCs w:val="24"/>
        </w:rPr>
        <w:t>арактеру действия напоминают катионные детергенты. Повреждение структуры мембраны приводит к изменению ее проницаемости как для внутри-, так и внеклеточных компонентов [ 44, 66].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Детергентоподобное действие является основой нескольких клинически значимых э</w:t>
      </w:r>
      <w:r>
        <w:rPr>
          <w:color w:val="000000"/>
          <w:sz w:val="24"/>
          <w:szCs w:val="24"/>
        </w:rPr>
        <w:t>ффектов использования полимиксинов – токсичность и нейтрализация биологических эффектов эндотоксинов. Особого внимания заслуживает нефротоксичность, проявляющаяся у 20% пациентов в первые несколько дней терапии в виде протеинурии, гематурии и повышения уро</w:t>
      </w:r>
      <w:r>
        <w:rPr>
          <w:color w:val="000000"/>
          <w:sz w:val="24"/>
          <w:szCs w:val="24"/>
        </w:rPr>
        <w:t xml:space="preserve">вня креатинина в сыворотке крови. При высокой концентрации полимиксина </w:t>
      </w:r>
      <w:r>
        <w:rPr>
          <w:color w:val="000000"/>
          <w:sz w:val="24"/>
          <w:szCs w:val="24"/>
        </w:rPr>
        <w:lastRenderedPageBreak/>
        <w:t>в сыворотке наблюдаются олигурия и тубулярный некроз  [77]. Возможны также неврологические и диспептические нарушения.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Полимиксины воздействуют на АТФ-зависимые кальциевые каналы инсули</w:t>
      </w:r>
      <w:r>
        <w:rPr>
          <w:color w:val="000000"/>
          <w:sz w:val="24"/>
          <w:szCs w:val="24"/>
        </w:rPr>
        <w:t>нсекретирующих клеток, что приводит к подавлению инсулинстимулированной трансформации и транспорта глюкозы, снижению поглощения глюкозы мышцами и их жировой тканью [ 88,  99]. Возможно усиление антиинсулинового эффекта других препаратов  [10].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Связывание ф</w:t>
      </w:r>
      <w:r>
        <w:rPr>
          <w:color w:val="000000"/>
          <w:sz w:val="24"/>
          <w:szCs w:val="24"/>
        </w:rPr>
        <w:t>осфолипидов полимиксинами объясняет их биологическую активность в виде блокирования эффекта эндотоксинов-липополисахаридов (ЭЛПС). Полимиксины препятствуют ЭЛПС-зависимому выделению интерлейкина-1 моноцитами, фактора некроза опухоли альвеолярными макрофага</w:t>
      </w:r>
      <w:r>
        <w:rPr>
          <w:color w:val="000000"/>
          <w:sz w:val="24"/>
          <w:szCs w:val="24"/>
        </w:rPr>
        <w:t>ми [ 11,  12]. В эксперименте это проявляется в устранении кардиоваскулярных, метаболических и других эффектов ЭЛПС  [13]. В то же время клиническое значение подобного действия полимиксинов остается неизученным в связи с огранниченным числом клинических на</w:t>
      </w:r>
      <w:r>
        <w:rPr>
          <w:color w:val="000000"/>
          <w:sz w:val="24"/>
          <w:szCs w:val="24"/>
        </w:rPr>
        <w:t>блюдений у ожоговых больных [ 14,  15] и у пациентов с обструктивной желтухой  [16].</w:t>
      </w:r>
    </w:p>
    <w:p w:rsidR="00000000" w:rsidRDefault="004B4C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Антибактериальная активность полимиксинов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Антибактериальная активность полимиксинов распространяется только на грамотрицательную микрофлору ( см. таблицу): Escherichia col</w:t>
      </w:r>
      <w:r>
        <w:rPr>
          <w:color w:val="000000"/>
          <w:sz w:val="24"/>
          <w:szCs w:val="24"/>
        </w:rPr>
        <w:t>i, Klebsiella spp., Enterobacter spp., Salmonella spp., Shigella spp., Haemophilus influenzae, Brucella spp., Pseudomonas aeruginosa, Acinetobacter spp.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Активность полимиксинов в отношении некоторых патогенных бактерий: МПК (мг/л) и/или качественная оценк</w:t>
      </w:r>
      <w:r>
        <w:rPr>
          <w:color w:val="000000"/>
          <w:sz w:val="24"/>
          <w:szCs w:val="24"/>
        </w:rPr>
        <w:t>а (R - резистентность)  [55]</w:t>
      </w:r>
    </w:p>
    <w:tbl>
      <w:tblPr>
        <w:tblW w:w="5000" w:type="pct"/>
        <w:tblCellSpacing w:w="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907B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847"/>
              <w:gridCol w:w="1928"/>
              <w:gridCol w:w="1928"/>
              <w:gridCol w:w="1935"/>
            </w:tblGrid>
            <w:tr w:rsidR="00000000">
              <w:trPr>
                <w:tblCellSpacing w:w="7" w:type="dxa"/>
              </w:trPr>
              <w:tc>
                <w:tcPr>
                  <w:tcW w:w="2000" w:type="pct"/>
                  <w:shd w:val="clear" w:color="auto" w:fill="E9D9B9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Микроорганизм</w:t>
                  </w:r>
                </w:p>
              </w:tc>
              <w:tc>
                <w:tcPr>
                  <w:tcW w:w="1000" w:type="pct"/>
                  <w:shd w:val="clear" w:color="auto" w:fill="E9D9B9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Колистина сульфат </w:t>
                  </w:r>
                </w:p>
              </w:tc>
              <w:tc>
                <w:tcPr>
                  <w:tcW w:w="1000" w:type="pct"/>
                  <w:shd w:val="clear" w:color="auto" w:fill="E9D9B9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Колистина сульфометат</w:t>
                  </w:r>
                </w:p>
              </w:tc>
              <w:tc>
                <w:tcPr>
                  <w:tcW w:w="1000" w:type="pct"/>
                  <w:shd w:val="clear" w:color="auto" w:fill="E9D9B9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ПолимиксинаВ сульфат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Staphylococcus aureus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64 (R)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(R)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64 (R)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Streptococcus pyogenes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32 (R)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32 (R)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16 (R)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Группа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br/>
                    <w:t xml:space="preserve">Streptococcus viridans 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32 (R)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32 (R)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32 (R)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Enterococcus faecalis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Haemophilus influenzae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0,03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Escherichia coli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0,01-32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0,05-64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0,03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Klebsiella pneumoniae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0,01-1,0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0,01-4,0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0,03-0,5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Enterobacter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0,03-32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0,5-R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0,03-16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Proteus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R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Salmonella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0,01-1,0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0,03-0,5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0,01-1,0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Shigella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0,01-1,0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0,1-0,25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0,01-1,0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Pseudomonas aeruginosa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0,03-4,0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2,0-320,03-4,0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4B4C19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4B4C19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многих случаях полимиксины остаются высокоактивными антибиотиками в отношении бактерий, устойчивых к большинству противомикробных препаратов  [17]. М</w:t>
      </w:r>
      <w:r>
        <w:rPr>
          <w:color w:val="000000"/>
          <w:sz w:val="24"/>
          <w:szCs w:val="24"/>
        </w:rPr>
        <w:t>еньшая активность проявляется против анаэробов. Нечувствительны к действию полимиксинов все виды Proteus spp., Serratia marcescens, грам(+) бактерии и многие анаэробы, в частности Bacteroides fragilis. Приобретенная бактериальная резистентность развивается</w:t>
      </w:r>
      <w:r>
        <w:rPr>
          <w:color w:val="000000"/>
          <w:sz w:val="24"/>
          <w:szCs w:val="24"/>
        </w:rPr>
        <w:t xml:space="preserve"> медленно и обычно связана со снижением проницаемости мембран для полимиксинов [ 18,  19].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Полимиксины демонстрируют in vitro синергидное действие с некоторыми другими антибактериальными средствами в отношении определенных возбудителей инфекций. Так, выявл</w:t>
      </w:r>
      <w:r>
        <w:rPr>
          <w:color w:val="000000"/>
          <w:sz w:val="24"/>
          <w:szCs w:val="24"/>
        </w:rPr>
        <w:t>ен синергизм с триметопримом против S. marcescens  [20], с бацитрацином и миконазолом – против Staphylococcus aureus и Staphylococcus epidermidis  [21]. Полимиксин В повышает активность амфотерицина В против Coccidioides immitis  [22], а комбинация колисти</w:t>
      </w:r>
      <w:r>
        <w:rPr>
          <w:color w:val="000000"/>
          <w:sz w:val="24"/>
          <w:szCs w:val="24"/>
        </w:rPr>
        <w:t>на с рифампицином способна подавлять жизнедеятельность множественно-резистентных штаммов Acinetobacter baumannii  [23]. Однако выявляемый in vitro синергизм не исследовался в контролируемых клинических исследованиях.</w:t>
      </w:r>
    </w:p>
    <w:p w:rsidR="00000000" w:rsidRDefault="004B4C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Фармакокинетика полимиксинов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Полимиксин</w:t>
      </w:r>
      <w:r>
        <w:rPr>
          <w:color w:val="000000"/>
          <w:sz w:val="24"/>
          <w:szCs w:val="24"/>
        </w:rPr>
        <w:t>ы практически не всасываются при приеме внутрь. После внутримышечного введения пиковая концентрация в сыворотке крови (2–8 мг/л) формируется через 1–2 ч с постепенным снижением в течение 8–12 ч. Внутривенное болюсное введение полимиксина В с последующей ме</w:t>
      </w:r>
      <w:r>
        <w:rPr>
          <w:color w:val="000000"/>
          <w:sz w:val="24"/>
          <w:szCs w:val="24"/>
        </w:rPr>
        <w:t>дленной инфузией позволяет поддерживать высокий его уровень (5–6 мг/л) в течение всего периода введения  [24].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парентерального введения полимиксины распределяются в организме, накапливаясь в почках, печени, сердце, мышцах и легких. Препараты не обнар</w:t>
      </w:r>
      <w:r>
        <w:rPr>
          <w:color w:val="000000"/>
          <w:sz w:val="24"/>
          <w:szCs w:val="24"/>
        </w:rPr>
        <w:t>уживаются в желчевыводящих путях и спинномозговой жидкости (даже при менингите). Выводятся и полимиксин В, и колистин почками путем клубочковой фильтрации. Концентрация в моче после парентерального введения варьирует в пределах 20–100 мг/л. Обычно она выше</w:t>
      </w:r>
      <w:r>
        <w:rPr>
          <w:color w:val="000000"/>
          <w:sz w:val="24"/>
          <w:szCs w:val="24"/>
        </w:rPr>
        <w:t xml:space="preserve"> у колистина.</w:t>
      </w:r>
    </w:p>
    <w:p w:rsidR="00000000" w:rsidRDefault="004B4C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Клиническое использование полимиксинов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клинике до 60-х годов полимиксины рассматривались в качестве основных средств лечения инфекций, вызванных P.aeruginosa, включая бактериемию, пневмонию, ожоги, менингиты (интратекальное введение), инфек</w:t>
      </w:r>
      <w:r>
        <w:rPr>
          <w:color w:val="000000"/>
          <w:sz w:val="24"/>
          <w:szCs w:val="24"/>
        </w:rPr>
        <w:t xml:space="preserve">ции мочевыводящих путей [ 25,  26].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современных условиях полимиксин В и колистин могут быть использованы лишь как препараты "глубокого" резерва при лечении инфекций, вызванных некоторыми грамотрицательными микроорганизмами с множественной устойчивостью </w:t>
      </w:r>
      <w:r>
        <w:rPr>
          <w:color w:val="000000"/>
          <w:sz w:val="24"/>
          <w:szCs w:val="24"/>
        </w:rPr>
        <w:t>к другим классам препаратов. Во многом это связано с меньшей эффективностью и большей токсичностью полимиксинов по сравнению с новыми, появившимися уже после них антибиотиками, такими, как цефалоспорины и аминогликозиды.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 полимиксины могут прим</w:t>
      </w:r>
      <w:r>
        <w:rPr>
          <w:color w:val="000000"/>
          <w:sz w:val="24"/>
          <w:szCs w:val="24"/>
        </w:rPr>
        <w:t xml:space="preserve">еняться местно, чаще в комбинации с другими препаратами при лечении болезней кожи и глаз. Глазные капли полимиксина с неомицином и грамицидином используют для профилактики инфекций у пациентов, перенесших операции на глазах, а также для лечения кератитов  </w:t>
      </w:r>
      <w:r>
        <w:rPr>
          <w:color w:val="000000"/>
          <w:sz w:val="24"/>
          <w:szCs w:val="24"/>
        </w:rPr>
        <w:t>[27]. Полимиксин до сих пор входит в схемы селективной деконтаминации кишечника у больных, находящихся в отделениях интенсивной терапии, хирургических стационарах и онкологических центрах. С этой целью полимиксин назначают внутрь самостоятельно или в комби</w:t>
      </w:r>
      <w:r>
        <w:rPr>
          <w:color w:val="000000"/>
          <w:sz w:val="24"/>
          <w:szCs w:val="24"/>
        </w:rPr>
        <w:t>нации с одним из таких препаратов, как гентамицин, неомицин, цефотаксим или ципрофлоксацин [ 28,  29]. Эти схемы показали высокую эффективность в предупреждении нозокомиальных инфекций, вызываемых множественнорезистентными штаммами грамотрицательной микроф</w:t>
      </w:r>
      <w:r>
        <w:rPr>
          <w:color w:val="000000"/>
          <w:sz w:val="24"/>
          <w:szCs w:val="24"/>
        </w:rPr>
        <w:t>лоры.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литературе приводятся ограниченные сведения о применении полимиксинов для терапии нозокомиальных инфекций. В частности, у 60 больных с внутрибольничным инфицированием штаммами P. aeruginosa и A. baumannii, резистентными к цефалоспоринам, монобактам</w:t>
      </w:r>
      <w:r>
        <w:rPr>
          <w:color w:val="000000"/>
          <w:sz w:val="24"/>
          <w:szCs w:val="24"/>
        </w:rPr>
        <w:t xml:space="preserve">ам, карбапенемам, аминогликозидам и фторхинолонам, был успешно использован колистин (эффективность 60%)  [30]. Лучшие результаты получены у пациентов с инфекциями мочевыводящих путей, менингитами (у 4 из 5 больных, в основном при интратекальном введении), </w:t>
      </w:r>
      <w:r>
        <w:rPr>
          <w:color w:val="000000"/>
          <w:sz w:val="24"/>
          <w:szCs w:val="24"/>
        </w:rPr>
        <w:t>сепсисом и хирургической патологией (перитонит). Однако лишь у 5 из 20 пациентов с пневмониями наступило улучшение. Авторы отмечают высокую частоту нарушения функции почек – у 27% больных с исходно нормальными значениями уровня креатинина и у 58% с уже име</w:t>
      </w:r>
      <w:r>
        <w:rPr>
          <w:color w:val="000000"/>
          <w:sz w:val="24"/>
          <w:szCs w:val="24"/>
        </w:rPr>
        <w:t>вшимися нарушениями. Эти обстоятельства требуют строго контроля функции почек у всех пациентов, получающих полимиксин.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инфекций нижних дыхательных путей имеются противоречивые сведения об эффективности полимиксинов. Они касаются в основном проф</w:t>
      </w:r>
      <w:r>
        <w:rPr>
          <w:color w:val="000000"/>
          <w:sz w:val="24"/>
          <w:szCs w:val="24"/>
        </w:rPr>
        <w:t>илактического применения колистина у пациентов, находящихся в отделениях интенсивной терапии или у больных муковисцидозом. В частности, T. Feeley и соавт.  [31] выявили увеличение частоты развития пневмоний, вызванных микроорганизмами, резистентными к поли</w:t>
      </w:r>
      <w:r>
        <w:rPr>
          <w:color w:val="000000"/>
          <w:sz w:val="24"/>
          <w:szCs w:val="24"/>
        </w:rPr>
        <w:t>миксину В (S. maltophilia и Вurkholderia cepacia), после ингаляционного использования препарата. С другий стороны, K. Unertl и соавт.  [32] указывают, что применение паст с полимиксином В в виде аппликаций в носо- и ротоглотке либо внутрь снижало колонизац</w:t>
      </w:r>
      <w:r>
        <w:rPr>
          <w:color w:val="000000"/>
          <w:sz w:val="24"/>
          <w:szCs w:val="24"/>
        </w:rPr>
        <w:t>ию глотки и бронхов множественно-резистентными микроорганизмами. В свою очередь это уменьшило частоту развития нозокомиальных пневмоний в сравнении с таковой у пациентов, не получавших подобной терапии.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Колистин оказался эффективным средством вторичной про</w:t>
      </w:r>
      <w:r>
        <w:rPr>
          <w:color w:val="000000"/>
          <w:sz w:val="24"/>
          <w:szCs w:val="24"/>
        </w:rPr>
        <w:t>филактики пневмоний у больных муковисцидозом  [33], инфицированных вирусом иммунодефицита человека  [34], и пациентов с нейтропенией [ 35,  36]. Интересны данные, полученные в Датском центре муковисцидоза в Копенгагене, по оценке эффективности трехступенча</w:t>
      </w:r>
      <w:r>
        <w:rPr>
          <w:color w:val="000000"/>
          <w:sz w:val="24"/>
          <w:szCs w:val="24"/>
        </w:rPr>
        <w:t>той схемы лечения с колистином (ингаляционно) и ципрофлоксацином (внутрь)  [37]. Только у 8 (17%) из 48 пациентов после трехмесячной терапии высокими дозами в течение последующих 3,5 лет развилась хроническая инфекция, вызванная P. aeruginosa. В контрольно</w:t>
      </w:r>
      <w:r>
        <w:rPr>
          <w:color w:val="000000"/>
          <w:sz w:val="24"/>
          <w:szCs w:val="24"/>
        </w:rPr>
        <w:t xml:space="preserve">й группе (43 пациента) таких больных оказалось 72%.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G.S. Bauldoff и соавт.  [38] оценивали эффективность ингаляционного применения колистина у больных муковисцидозом – кандидатов на трансплантацию легких. Все пациенты были колонизированы множественно-рези</w:t>
      </w:r>
      <w:r>
        <w:rPr>
          <w:color w:val="000000"/>
          <w:sz w:val="24"/>
          <w:szCs w:val="24"/>
        </w:rPr>
        <w:t>стентыми штаммами P.aeruginosa. Применение колистина у 20 пацинетов привело к исчезновению множественно-устойчивых штаммов и колонизации легких штаммами синегнойной палочки, чувствительными к антибиотикам в течение 45,0±20,2 дня. В контрольной группе тольк</w:t>
      </w:r>
      <w:r>
        <w:rPr>
          <w:color w:val="000000"/>
          <w:sz w:val="24"/>
          <w:szCs w:val="24"/>
        </w:rPr>
        <w:t>о у 3 из 10 пациентов были выделены такие микроорганизмы лишь через 144±48 дней. Авторы заключают, что колистин может быть использован для содействия появлению чувствительных к препаратам штаммов P. aeruginosa у пациентов, которым планируется трансплантаци</w:t>
      </w:r>
      <w:r>
        <w:rPr>
          <w:color w:val="000000"/>
          <w:sz w:val="24"/>
          <w:szCs w:val="24"/>
        </w:rPr>
        <w:t>я легких.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Чрезвычайно серьезной проблемой остаются менингиты, вызванные устойчивыми ко многим антибиотикам возбудителями. Описаны методы лечения таких форм патологии карбапенемами и ингибиторозащищенными пенициллинами [ 39,  40]. Однако развитие резистентн</w:t>
      </w:r>
      <w:r>
        <w:rPr>
          <w:color w:val="000000"/>
          <w:sz w:val="24"/>
          <w:szCs w:val="24"/>
        </w:rPr>
        <w:t xml:space="preserve">ости к этим препаратам уже нередкое явление. В частности, серьезной проблемой являются штаммы Acinetobacter spp., устойчивые в том числе к карбапенемам и сульбактаму [ 41,  42,  43]. Как показывают немногочисленные публикации, такие штаммы часто сохраняют </w:t>
      </w:r>
      <w:r>
        <w:rPr>
          <w:color w:val="000000"/>
          <w:sz w:val="24"/>
          <w:szCs w:val="24"/>
        </w:rPr>
        <w:t xml:space="preserve">чувствительность к полимиксинам [ 44,  45].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 представляет сообщение P. Fernandas-Viladrich и соавт.  [46] о лечении 5 пациентов по поводу вентрикулитов с субарахноидальными гематомами или оперированных по поводу опухоли мозга. После внутривенного в</w:t>
      </w:r>
      <w:r>
        <w:rPr>
          <w:color w:val="000000"/>
          <w:sz w:val="24"/>
          <w:szCs w:val="24"/>
        </w:rPr>
        <w:t>ведения меропенема, сульбактама и тобрамицина, а также тобрамицина интравентрикулярно 3 пациента погибли в течение недели после развития вентрикулита, вызванного карбапенеморезистентными штаммами Acinetobacter baumannii. Наряду с перечисленной терапией 2 б</w:t>
      </w:r>
      <w:r>
        <w:rPr>
          <w:color w:val="000000"/>
          <w:sz w:val="24"/>
          <w:szCs w:val="24"/>
        </w:rPr>
        <w:t>ольным был назначен колистин интратекально (в течение 20 дней), что привело к улучшению их состояния и стерилизации спинномозговой жидкости. Авторы заключают, что именно колистин способствовал сохранению жизни этим больным, поскольку ни меропенем (МПК – 4–</w:t>
      </w:r>
      <w:r>
        <w:rPr>
          <w:color w:val="000000"/>
          <w:sz w:val="24"/>
          <w:szCs w:val="24"/>
        </w:rPr>
        <w:t>256 мг/л), ни тобрамицин (МПК – 8 мг/л) не создавали в ликворе концентрации, достаточной для подавления возбудителя.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 современных условиях лечение некоторых тяжелых форм инфекционной патологии, в том числе нозокомиальных инфекций, требует п</w:t>
      </w:r>
      <w:r>
        <w:rPr>
          <w:color w:val="000000"/>
          <w:sz w:val="24"/>
          <w:szCs w:val="24"/>
        </w:rPr>
        <w:t>ересмотра стандартных подходов. Бесконтрольное применение антибактериальных препаратов, в том числе, в амбулаторной практике, приводит к распространению антибиотикорезистентности, против которой не успевают изыскать эффективные средства наука и фармацевтич</w:t>
      </w:r>
      <w:r>
        <w:rPr>
          <w:color w:val="000000"/>
          <w:sz w:val="24"/>
          <w:szCs w:val="24"/>
        </w:rPr>
        <w:t>еская промышленность.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поэтому в некоторых случаях необходимо обращать внимание к препаратам, давно известным и изученным, но незаслуженно забытым. В этом отношении полимиксины могут принести немало пользы, если их применять обоснованно, особенно в т</w:t>
      </w:r>
      <w:r>
        <w:rPr>
          <w:color w:val="000000"/>
          <w:sz w:val="24"/>
          <w:szCs w:val="24"/>
        </w:rPr>
        <w:t>ех случаях, когда другие препараты прогностически могут быть неэффективными.</w:t>
      </w:r>
    </w:p>
    <w:p w:rsidR="00000000" w:rsidRDefault="004B4C1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MoelleringR.C. Antibiotic resistance: Lessons for the future. Clin Infect Dis 1998; 27 (Suppl. 1): 135-40.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Drew J. Drug Int J 1993; 22: 1059-64.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SCRIP 1995; 27</w:t>
      </w:r>
      <w:r>
        <w:rPr>
          <w:color w:val="000000"/>
          <w:sz w:val="24"/>
          <w:szCs w:val="24"/>
          <w:lang w:val="en-US"/>
        </w:rPr>
        <w:t xml:space="preserve">: 2054.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Hancock R.E.W., Chapple D.S. Peptide antibiotics. Antimicrob Agents Chemother 1999; 43: 1317-23.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O'Grady F., Greenwood D. Cyclic peptides. In: O'Grady F., Lambert H.P., Finch R.G., Greenwood D., editors. Antibiotics and Chemotherapy. 7</w:t>
      </w:r>
      <w:r>
        <w:rPr>
          <w:color w:val="000000"/>
          <w:sz w:val="24"/>
          <w:szCs w:val="24"/>
          <w:vertAlign w:val="superscript"/>
          <w:lang w:val="en-US"/>
        </w:rPr>
        <w:t>th</w:t>
      </w:r>
      <w:r>
        <w:rPr>
          <w:color w:val="000000"/>
          <w:sz w:val="24"/>
          <w:szCs w:val="24"/>
          <w:lang w:val="en-US"/>
        </w:rPr>
        <w:t xml:space="preserve"> ed. New </w:t>
      </w:r>
      <w:r>
        <w:rPr>
          <w:color w:val="000000"/>
          <w:sz w:val="24"/>
          <w:szCs w:val="24"/>
          <w:lang w:val="en-US"/>
        </w:rPr>
        <w:t xml:space="preserve">York: Churchill Livingstone; 1997. p. 336-44.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Mestres C., Alsina M., Busquets M., et al. Interaction of colistin with lipids in liposomes and monolayers. Int J Pharm 1998; 160: 99-107.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Koch-Weser J., Sidel V.W., Federman E.B., et al. Adverse effects of s</w:t>
      </w:r>
      <w:r>
        <w:rPr>
          <w:color w:val="000000"/>
          <w:sz w:val="24"/>
          <w:szCs w:val="24"/>
          <w:lang w:val="en-US"/>
        </w:rPr>
        <w:t xml:space="preserve">odium colistimethate. Ann Intern Med 1970; 72: 857.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Strutchfield J., Jones P.M., Howell S.L. The effects of polymyxin B, a protein kinase C inhibitor, on insulin secretion from intact and permeabilized islets of Langerhans. Biochem Biophys Res Commun 1986</w:t>
      </w:r>
      <w:r>
        <w:rPr>
          <w:color w:val="000000"/>
          <w:sz w:val="24"/>
          <w:szCs w:val="24"/>
          <w:lang w:val="en-US"/>
        </w:rPr>
        <w:t xml:space="preserve">; 136: 1001.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Amir S., Sasson S., Kalser N. Polymyxin B is an inhibitor of insulin-induced hypoglycemia in the whole animal model: Studies on the mode of inhibitory action. J Biol Chem 1987; 262: 6663.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Henriksen E.J., Sleeper M.D., Zierath J.R., et al. Polymyxin B inhibits stimulation of glucose transport in muscle by hypoxia or contractions. Ann J Physiol 1989; 256: E662.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Cavaillon J.M., Haeffner-Cavaillon N. Polymyxin B inhibition of LPS-induced inter</w:t>
      </w:r>
      <w:r>
        <w:rPr>
          <w:color w:val="000000"/>
          <w:sz w:val="24"/>
          <w:szCs w:val="24"/>
          <w:lang w:val="en-US"/>
        </w:rPr>
        <w:t xml:space="preserve">leukin-1 secretion by human monocytes is dependent upon the LPS origin. Mol Immunol 1986; 23: 965.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Stokes D.C., Shenep J.L., Fishman M., et al. Polymyxin B prevents lipopolysaccharide-induced release of tumor necrosis factors from alveolar macrophages. J </w:t>
      </w:r>
      <w:r>
        <w:rPr>
          <w:color w:val="000000"/>
          <w:sz w:val="24"/>
          <w:szCs w:val="24"/>
          <w:lang w:val="en-US"/>
        </w:rPr>
        <w:t xml:space="preserve">Infect Dis 1989; 160: 52.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Flynn P.M., Shenep J.L., Stokes D.C., et al. Polymyxin moderates acidosis and hypotension in established, experimental gram-negative septicemia. J Infect Dis 1987; 156: 706.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Tauber M.G., Shibl A.M., Hackbarth C.J., et al. Antibi</w:t>
      </w:r>
      <w:r>
        <w:rPr>
          <w:color w:val="000000"/>
          <w:sz w:val="24"/>
          <w:szCs w:val="24"/>
          <w:lang w:val="en-US"/>
        </w:rPr>
        <w:t xml:space="preserve">otic therapy, endotoxin concentration in cerebrospinal fluid, and brain edema in experimental Escherichia coli meningitis in rabbits. J Infect Dis 1987; 156: 456.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Bender B.S., Winchurch R.A., Trupari J.N., et al. Depressed natural killer cell function in </w:t>
      </w:r>
      <w:r>
        <w:rPr>
          <w:color w:val="000000"/>
          <w:sz w:val="24"/>
          <w:szCs w:val="24"/>
          <w:lang w:val="en-US"/>
        </w:rPr>
        <w:t xml:space="preserve">terminally injured adults: Successful in vivo and in vitro immunomodulation and the role of endotoxin. Clin Exp Immunol 1988; 71: 120-5.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Ingoldby C.J., McPherson G.A., Blamgart L.H. Endotoxemia in human obstructive jaundice: Effect of polymyxin B. Am J Su</w:t>
      </w:r>
      <w:r>
        <w:rPr>
          <w:color w:val="000000"/>
          <w:sz w:val="24"/>
          <w:szCs w:val="24"/>
          <w:lang w:val="en-US"/>
        </w:rPr>
        <w:t xml:space="preserve">rg 1984; 147: 766.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Catchpole C.R., Andrews J.M., Brenwald N., et al. A reassessment of the in vitro activity of colistin sulphomethate sodium. J Antimicrob Chemother 1997; 39: 255-60.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Moore R.A.. Hancock R.E. Involvement of outer membrane of Pseudomonas </w:t>
      </w:r>
      <w:r>
        <w:rPr>
          <w:color w:val="000000"/>
          <w:sz w:val="24"/>
          <w:szCs w:val="24"/>
          <w:lang w:val="en-US"/>
        </w:rPr>
        <w:t xml:space="preserve">cepacia in aminoglycoside and polymyxin resistance. Antimicrob Agents Chemother 1986; 30: 923.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Peterson A.A., Fesik S.W., McGroarty E.J. Decreased binding of antibiotics to lipopolysaccharides from polymyxin-resistant strains of Escherichia coli and Salmo</w:t>
      </w:r>
      <w:r>
        <w:rPr>
          <w:color w:val="000000"/>
          <w:sz w:val="24"/>
          <w:szCs w:val="24"/>
          <w:lang w:val="en-US"/>
        </w:rPr>
        <w:t xml:space="preserve">nella typhimurium. Antimicrob Agents Chemother 1987; 31: 230.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Rosenblatt J.E., Stewart P.R. Combined activity of sulfamethoxazole, trimethoprim and polymyxin B against gram-negative bacilli. Antimicrob Agents Chemother 1974; 6: 84.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Cornelissen F., Van de</w:t>
      </w:r>
      <w:r>
        <w:rPr>
          <w:color w:val="000000"/>
          <w:sz w:val="24"/>
          <w:szCs w:val="24"/>
          <w:lang w:val="en-US"/>
        </w:rPr>
        <w:t xml:space="preserve"> Bossche H. Synergism of the antimicrobial agents miconasole, bacitracin and polimixin B. Chemother 1983; 29: 419.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Collins M.S., Pappagagiorus D. Inhibition of Coccidiodes immitis in vitro and enhancement of amphotericin B by polymyxin B. Antimicrob Agent</w:t>
      </w:r>
      <w:r>
        <w:rPr>
          <w:color w:val="000000"/>
          <w:sz w:val="24"/>
          <w:szCs w:val="24"/>
          <w:lang w:val="en-US"/>
        </w:rPr>
        <w:t xml:space="preserve">s Chemother 1975; 7: 419.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Hogg G.M., Barr J.G., Webb C.H. In vitro activity of the combination of colistin and rifampicin against milty-drug-resistant strains of A. baumannii. J Antimicrob Chemother 1998; 41: 494-5.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Meyers B.R., Gurtman A.C. Polymyxin B.</w:t>
      </w:r>
      <w:r>
        <w:rPr>
          <w:color w:val="000000"/>
          <w:sz w:val="24"/>
          <w:szCs w:val="24"/>
          <w:lang w:val="en-US"/>
        </w:rPr>
        <w:t xml:space="preserve"> Colistin. In: Gorbach S.L., Bartlett J.G., Blacklow N.R., editors. Infect Dis; 1998: p. 2594.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Fekety J., Norman P.S., Cluff L.E. The treatment of gram-negative bacillary infections with colistin. Ann Intern Med 1962; 57: 214.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Murdock J. The treatment of</w:t>
      </w:r>
      <w:r>
        <w:rPr>
          <w:color w:val="000000"/>
          <w:sz w:val="24"/>
          <w:szCs w:val="24"/>
          <w:lang w:val="en-US"/>
        </w:rPr>
        <w:t xml:space="preserve"> severe Pseudomonas pyocyanea infections with colistin. Proceedings of the Third International Congress of Chemotherapy; 1964; Stuttgart, Germany. p. 319.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Moore M.B., McCulley J.P. Acanthamobea keratitis associated with contact lenses: Six consecutive cas</w:t>
      </w:r>
      <w:r>
        <w:rPr>
          <w:color w:val="000000"/>
          <w:sz w:val="24"/>
          <w:szCs w:val="24"/>
          <w:lang w:val="en-US"/>
        </w:rPr>
        <w:t xml:space="preserve">es of successful management. Br J Ophthalmol 1989; 73: 271.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Ledingham I.M., Alcock S.R., Eastaway A.T., et al. Triple regimen of selective decontamination of the digestive tract, systemic cefotaxime, and microbiological surveillance for prevention of acqu</w:t>
      </w:r>
      <w:r>
        <w:rPr>
          <w:color w:val="000000"/>
          <w:sz w:val="24"/>
          <w:szCs w:val="24"/>
          <w:lang w:val="en-US"/>
        </w:rPr>
        <w:t xml:space="preserve">ired infections in intensive care. Lancet 1988; 1: 785.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Johanson W.G., Siedenfeld J., et al. Prevention of nosocomial pneumonia using topical and parenteral antimicrobial agents. Am Rev Respir Dis 1988; 137: 265.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Levin A.S., Bazone A.A., Penco J., et al.</w:t>
      </w:r>
      <w:r>
        <w:rPr>
          <w:color w:val="000000"/>
          <w:sz w:val="24"/>
          <w:szCs w:val="24"/>
          <w:lang w:val="en-US"/>
        </w:rPr>
        <w:t xml:space="preserve"> Intravenous colistin as therapy for nosocomial infections caused by multydrug-resistant P. aeruginosa and A. baumannii. Clin Infect Dis 1999; 28: 1008-11.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Feeley T., DuMoulin G., Hedley-Whyte J., et al. Aerosol polymyxin and pneumonia in seriously ill pa</w:t>
      </w:r>
      <w:r>
        <w:rPr>
          <w:color w:val="000000"/>
          <w:sz w:val="24"/>
          <w:szCs w:val="24"/>
          <w:lang w:val="en-US"/>
        </w:rPr>
        <w:t xml:space="preserve">tients. N Engl J Med 1975; 193: 471.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Unertl K., Ruckdeschel G., Selbmann H., et al. Prevention of colonization and respiratory infections in long-term ventilated patients by local antimicrobial prophylaxis. Intens Care Med 1987; 13: 106.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Conway S.P., Pon</w:t>
      </w:r>
      <w:r>
        <w:rPr>
          <w:color w:val="000000"/>
          <w:sz w:val="24"/>
          <w:szCs w:val="24"/>
          <w:lang w:val="en-US"/>
        </w:rPr>
        <w:t xml:space="preserve">d H.N., Watson A., et al. Intravenous colistin sulphomethate in acute respiratory exacerbations in adult patients with cystic fibrosis. Thorax 1996; 52: 987-93.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Zylberberg H., Vargaftig J., Barbieux C., et al. Prolonged efficiency of secondary prophylaxis</w:t>
      </w:r>
      <w:r>
        <w:rPr>
          <w:color w:val="000000"/>
          <w:sz w:val="24"/>
          <w:szCs w:val="24"/>
          <w:lang w:val="en-US"/>
        </w:rPr>
        <w:t xml:space="preserve"> colistin aerosols for respiratory infection due to P. aeruginosa in patients infected with human immunodeficiency virus. Clin Infect Dis 1996; 23: 641-3.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Kurrle E., DeKiler A., Gaus W., et al. Prevention of infection in acute leukemia: A prospective rand</w:t>
      </w:r>
      <w:r>
        <w:rPr>
          <w:color w:val="000000"/>
          <w:sz w:val="24"/>
          <w:szCs w:val="24"/>
          <w:lang w:val="en-US"/>
        </w:rPr>
        <w:t xml:space="preserve">omized study of two different drug regimes for antimicrobial prophylaxis. Infections 1986: 14: 226.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Manan F., Kibbler C., Noone P. Activity of ciprofloxacin and colistin against Pseudomonas aeruginosa isolates from neutropenic patients: A possible approac</w:t>
      </w:r>
      <w:r>
        <w:rPr>
          <w:color w:val="000000"/>
          <w:sz w:val="24"/>
          <w:szCs w:val="24"/>
          <w:lang w:val="en-US"/>
        </w:rPr>
        <w:t xml:space="preserve">h to prophylaxis (letter). J Antimicrob Chemother 1988; 22: 953.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Frederiksen B., Koch C., Noiby N. Antibiotic treatment of initial colonization with P. aeruginosa postpones chronic infections and prevents deterioration of pulmonary function in cystic fibr</w:t>
      </w:r>
      <w:r>
        <w:rPr>
          <w:color w:val="000000"/>
          <w:sz w:val="24"/>
          <w:szCs w:val="24"/>
          <w:lang w:val="en-US"/>
        </w:rPr>
        <w:t xml:space="preserve">osis. Pediatr Pulmon 1997; 23: 330-5.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Bauldoff G.S., Nunley D.R., Manzetti J., et al. Use of aerosolized colistin sodium in cystic fibrosis patients awaiting lung transplantating. Transplantation 1997; 64: 748-52.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Klugman K.P., Dagan R. Efficacy and sa</w:t>
      </w:r>
      <w:r>
        <w:rPr>
          <w:color w:val="000000"/>
          <w:sz w:val="24"/>
          <w:szCs w:val="24"/>
          <w:lang w:val="en-US"/>
        </w:rPr>
        <w:t xml:space="preserve">fety of meropenem in the treatment of meningitis. Antimicrob Agents Chemother 1995; 39: 1140-6.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Jimenez-Mejias M.E., Pachon J., Becerril B., et al. Treatment of multidrug-resistant Acinetobacter baumannii meningitis with ampicillin/sulbactam. Clin Infect </w:t>
      </w:r>
      <w:r>
        <w:rPr>
          <w:color w:val="000000"/>
          <w:sz w:val="24"/>
          <w:szCs w:val="24"/>
          <w:lang w:val="en-US"/>
        </w:rPr>
        <w:t xml:space="preserve">Dis 1997; 24: 932-5.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Urban C., Go E., Mariano N., et al. Effect of sulbactam on infections caused by imipenem-resistant Acinetobacter calcoaceticus biotype anitratus. J Infect Dis 1993; 167: 448-51.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Wood C.A., Reboli A.C. Infections causes by imipenem-re</w:t>
      </w:r>
      <w:r>
        <w:rPr>
          <w:color w:val="000000"/>
          <w:sz w:val="24"/>
          <w:szCs w:val="24"/>
          <w:lang w:val="en-US"/>
        </w:rPr>
        <w:t xml:space="preserve">sistant A. calcoaceticus biotype anitratus. J Infect Dis 1993; 168: 1602-3.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Corbella X., Pujol M., Ayats J., et al. Relevance of digestive tract colonization in the epidemiology of multiresistant Acinetobacter baumannii. Clin Infect Dis 1996; 23: 329-34.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 E.S., Urban C., Burns J., et al. Clinical and molecular epidemiology of Acinetobacter infections sensitive only to polymyxin B and sulbactam. Lancet 1994; 344: 1329-32.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Bergogne-Berezin E., Towner K.J. Acinetobacter spp. as nosocomial pathogens: micro</w:t>
      </w:r>
      <w:r>
        <w:rPr>
          <w:color w:val="000000"/>
          <w:sz w:val="24"/>
          <w:szCs w:val="24"/>
          <w:lang w:val="en-US"/>
        </w:rPr>
        <w:t xml:space="preserve">biological. Clinical and epidemiological features. Clin Microbiol Rev 1996; 9: 148-65. </w:t>
      </w:r>
    </w:p>
    <w:p w:rsidR="00000000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Fernandes-Viladrich P., Corbella X., Corral L., et al. Successful treatment of ventriculitis due to carbapenem-resistant Acinetobacter baumannii with intraventricular c</w:t>
      </w:r>
      <w:r>
        <w:rPr>
          <w:color w:val="000000"/>
          <w:sz w:val="24"/>
          <w:szCs w:val="24"/>
          <w:lang w:val="en-US"/>
        </w:rPr>
        <w:t xml:space="preserve">olistin sulfomethat sodium. Clin Infect Dis 1999; 28: 916-7. </w:t>
      </w:r>
    </w:p>
    <w:p w:rsidR="004B4C19" w:rsidRDefault="004B4C1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sectPr w:rsidR="004B4C1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F0FBE"/>
    <w:multiLevelType w:val="hybridMultilevel"/>
    <w:tmpl w:val="4D345694"/>
    <w:lvl w:ilvl="0" w:tplc="03703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88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0C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C0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89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29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0A8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81C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A3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  <w:num w:numId="17">
    <w:abstractNumId w:val="0"/>
    <w:lvlOverride w:ilvl="0">
      <w:startOverride w:val="17"/>
    </w:lvlOverride>
  </w:num>
  <w:num w:numId="18">
    <w:abstractNumId w:val="0"/>
    <w:lvlOverride w:ilvl="0">
      <w:startOverride w:val="18"/>
    </w:lvlOverride>
  </w:num>
  <w:num w:numId="19">
    <w:abstractNumId w:val="0"/>
    <w:lvlOverride w:ilvl="0">
      <w:startOverride w:val="19"/>
    </w:lvlOverride>
  </w:num>
  <w:num w:numId="20">
    <w:abstractNumId w:val="0"/>
    <w:lvlOverride w:ilvl="0">
      <w:startOverride w:val="20"/>
    </w:lvlOverride>
  </w:num>
  <w:num w:numId="21">
    <w:abstractNumId w:val="0"/>
    <w:lvlOverride w:ilvl="0">
      <w:startOverride w:val="21"/>
    </w:lvlOverride>
  </w:num>
  <w:num w:numId="22">
    <w:abstractNumId w:val="0"/>
    <w:lvlOverride w:ilvl="0">
      <w:startOverride w:val="22"/>
    </w:lvlOverride>
  </w:num>
  <w:num w:numId="23">
    <w:abstractNumId w:val="0"/>
    <w:lvlOverride w:ilvl="0">
      <w:startOverride w:val="23"/>
    </w:lvlOverride>
  </w:num>
  <w:num w:numId="24">
    <w:abstractNumId w:val="0"/>
    <w:lvlOverride w:ilvl="0">
      <w:startOverride w:val="24"/>
    </w:lvlOverride>
  </w:num>
  <w:num w:numId="25">
    <w:abstractNumId w:val="0"/>
    <w:lvlOverride w:ilvl="0">
      <w:startOverride w:val="25"/>
    </w:lvlOverride>
  </w:num>
  <w:num w:numId="26">
    <w:abstractNumId w:val="0"/>
    <w:lvlOverride w:ilvl="0">
      <w:startOverride w:val="26"/>
    </w:lvlOverride>
  </w:num>
  <w:num w:numId="27">
    <w:abstractNumId w:val="0"/>
    <w:lvlOverride w:ilvl="0">
      <w:startOverride w:val="27"/>
    </w:lvlOverride>
  </w:num>
  <w:num w:numId="28">
    <w:abstractNumId w:val="0"/>
    <w:lvlOverride w:ilvl="0">
      <w:startOverride w:val="28"/>
    </w:lvlOverride>
  </w:num>
  <w:num w:numId="29">
    <w:abstractNumId w:val="0"/>
    <w:lvlOverride w:ilvl="0">
      <w:startOverride w:val="29"/>
    </w:lvlOverride>
  </w:num>
  <w:num w:numId="30">
    <w:abstractNumId w:val="0"/>
    <w:lvlOverride w:ilvl="0">
      <w:startOverride w:val="30"/>
    </w:lvlOverride>
  </w:num>
  <w:num w:numId="31">
    <w:abstractNumId w:val="0"/>
    <w:lvlOverride w:ilvl="0">
      <w:startOverride w:val="31"/>
    </w:lvlOverride>
  </w:num>
  <w:num w:numId="32">
    <w:abstractNumId w:val="0"/>
    <w:lvlOverride w:ilvl="0">
      <w:startOverride w:val="32"/>
    </w:lvlOverride>
  </w:num>
  <w:num w:numId="33">
    <w:abstractNumId w:val="0"/>
    <w:lvlOverride w:ilvl="0">
      <w:startOverride w:val="33"/>
    </w:lvlOverride>
  </w:num>
  <w:num w:numId="34">
    <w:abstractNumId w:val="0"/>
    <w:lvlOverride w:ilvl="0">
      <w:startOverride w:val="34"/>
    </w:lvlOverride>
  </w:num>
  <w:num w:numId="35">
    <w:abstractNumId w:val="0"/>
    <w:lvlOverride w:ilvl="0">
      <w:startOverride w:val="35"/>
    </w:lvlOverride>
  </w:num>
  <w:num w:numId="36">
    <w:abstractNumId w:val="0"/>
    <w:lvlOverride w:ilvl="0">
      <w:startOverride w:val="36"/>
    </w:lvlOverride>
  </w:num>
  <w:num w:numId="37">
    <w:abstractNumId w:val="0"/>
    <w:lvlOverride w:ilvl="0">
      <w:startOverride w:val="37"/>
    </w:lvlOverride>
  </w:num>
  <w:num w:numId="38">
    <w:abstractNumId w:val="0"/>
    <w:lvlOverride w:ilvl="0">
      <w:startOverride w:val="38"/>
    </w:lvlOverride>
  </w:num>
  <w:num w:numId="39">
    <w:abstractNumId w:val="0"/>
    <w:lvlOverride w:ilvl="0">
      <w:startOverride w:val="39"/>
    </w:lvlOverride>
  </w:num>
  <w:num w:numId="40">
    <w:abstractNumId w:val="0"/>
    <w:lvlOverride w:ilvl="0">
      <w:startOverride w:val="40"/>
    </w:lvlOverride>
  </w:num>
  <w:num w:numId="41">
    <w:abstractNumId w:val="0"/>
    <w:lvlOverride w:ilvl="0">
      <w:startOverride w:val="41"/>
    </w:lvlOverride>
  </w:num>
  <w:num w:numId="42">
    <w:abstractNumId w:val="0"/>
    <w:lvlOverride w:ilvl="0">
      <w:startOverride w:val="42"/>
    </w:lvlOverride>
  </w:num>
  <w:num w:numId="43">
    <w:abstractNumId w:val="0"/>
    <w:lvlOverride w:ilvl="0">
      <w:startOverride w:val="43"/>
    </w:lvlOverride>
  </w:num>
  <w:num w:numId="44">
    <w:abstractNumId w:val="0"/>
    <w:lvlOverride w:ilvl="0">
      <w:startOverride w:val="44"/>
    </w:lvlOverride>
  </w:num>
  <w:num w:numId="45">
    <w:abstractNumId w:val="0"/>
    <w:lvlOverride w:ilvl="0">
      <w:startOverride w:val="45"/>
    </w:lvlOverride>
  </w:num>
  <w:num w:numId="46">
    <w:abstractNumId w:val="0"/>
    <w:lvlOverride w:ilvl="0">
      <w:startOverride w:val="4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49"/>
    <w:rsid w:val="004B4C19"/>
    <w:rsid w:val="006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800000"/>
      <w:u w:val="none"/>
      <w:effect w:val="none"/>
    </w:rPr>
  </w:style>
  <w:style w:type="character" w:styleId="a4">
    <w:name w:val="FollowedHyperlink"/>
    <w:basedOn w:val="a0"/>
    <w:uiPriority w:val="99"/>
    <w:rPr>
      <w:color w:val="800000"/>
      <w:u w:val="none"/>
      <w:effect w:val="none"/>
    </w:rPr>
  </w:style>
  <w:style w:type="paragraph" w:styleId="a5">
    <w:name w:val="Normal (Web)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left">
    <w:name w:val="left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</w:rPr>
  </w:style>
  <w:style w:type="paragraph" w:customStyle="1" w:styleId="right">
    <w:name w:val="right"/>
    <w:basedOn w:val="a"/>
    <w:uiPriority w:val="99"/>
    <w:pPr>
      <w:spacing w:before="180" w:after="90" w:line="300" w:lineRule="auto"/>
      <w:ind w:left="15" w:right="45"/>
      <w:jc w:val="right"/>
    </w:pPr>
    <w:rPr>
      <w:rFonts w:ascii="Verdana" w:hAnsi="Verdana" w:cs="Verdana"/>
    </w:rPr>
  </w:style>
  <w:style w:type="paragraph" w:customStyle="1" w:styleId="center">
    <w:name w:val="center"/>
    <w:basedOn w:val="a"/>
    <w:uiPriority w:val="99"/>
    <w:pPr>
      <w:spacing w:before="180" w:after="90" w:line="300" w:lineRule="auto"/>
      <w:ind w:left="15" w:right="45"/>
      <w:jc w:val="center"/>
    </w:pPr>
    <w:rPr>
      <w:rFonts w:ascii="Verdana" w:hAnsi="Verdana" w:cs="Verdana"/>
    </w:rPr>
  </w:style>
  <w:style w:type="paragraph" w:customStyle="1" w:styleId="a6">
    <w:name w:val="a"/>
    <w:basedOn w:val="a"/>
    <w:uiPriority w:val="99"/>
    <w:pPr>
      <w:spacing w:before="180" w:after="90" w:line="300" w:lineRule="auto"/>
      <w:ind w:left="15" w:right="45" w:firstLine="480"/>
      <w:jc w:val="both"/>
    </w:pPr>
    <w:rPr>
      <w:rFonts w:ascii="Verdana" w:hAnsi="Verdana" w:cs="Verdana"/>
    </w:rPr>
  </w:style>
  <w:style w:type="paragraph" w:customStyle="1" w:styleId="t8">
    <w:name w:val="t8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sz w:val="16"/>
      <w:szCs w:val="16"/>
    </w:rPr>
  </w:style>
  <w:style w:type="paragraph" w:customStyle="1" w:styleId="t8c">
    <w:name w:val="t8c"/>
    <w:basedOn w:val="a"/>
    <w:uiPriority w:val="99"/>
    <w:pPr>
      <w:spacing w:before="180" w:after="90" w:line="300" w:lineRule="auto"/>
      <w:ind w:left="15" w:right="45"/>
      <w:jc w:val="center"/>
    </w:pPr>
    <w:rPr>
      <w:rFonts w:ascii="Verdana" w:hAnsi="Verdana" w:cs="Verdana"/>
      <w:sz w:val="16"/>
      <w:szCs w:val="16"/>
    </w:rPr>
  </w:style>
  <w:style w:type="paragraph" w:customStyle="1" w:styleId="mc">
    <w:name w:val="mc"/>
    <w:basedOn w:val="a"/>
    <w:uiPriority w:val="99"/>
    <w:pPr>
      <w:spacing w:before="15" w:after="30" w:line="300" w:lineRule="auto"/>
      <w:ind w:left="15" w:right="45"/>
      <w:jc w:val="center"/>
    </w:pPr>
    <w:rPr>
      <w:rFonts w:ascii="Verdana" w:hAnsi="Verdana" w:cs="Verdana"/>
    </w:rPr>
  </w:style>
  <w:style w:type="paragraph" w:customStyle="1" w:styleId="head">
    <w:name w:val="head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6"/>
      <w:szCs w:val="26"/>
    </w:rPr>
  </w:style>
  <w:style w:type="paragraph" w:customStyle="1" w:styleId="head2">
    <w:name w:val="head2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32"/>
      <w:szCs w:val="32"/>
    </w:rPr>
  </w:style>
  <w:style w:type="paragraph" w:customStyle="1" w:styleId="head3">
    <w:name w:val="head3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8"/>
      <w:szCs w:val="28"/>
    </w:rPr>
  </w:style>
  <w:style w:type="paragraph" w:customStyle="1" w:styleId="head4">
    <w:name w:val="head4"/>
    <w:basedOn w:val="a"/>
    <w:uiPriority w:val="99"/>
    <w:pPr>
      <w:spacing w:before="90" w:after="45" w:line="300" w:lineRule="auto"/>
      <w:ind w:left="15" w:right="45"/>
    </w:pPr>
    <w:rPr>
      <w:rFonts w:ascii="Arial" w:hAnsi="Arial" w:cs="Arial"/>
      <w:b/>
      <w:bCs/>
      <w:sz w:val="24"/>
      <w:szCs w:val="24"/>
    </w:rPr>
  </w:style>
  <w:style w:type="paragraph" w:customStyle="1" w:styleId="link">
    <w:name w:val="link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  <w:color w:val="800000"/>
    </w:rPr>
  </w:style>
  <w:style w:type="paragraph" w:customStyle="1" w:styleId="j">
    <w:name w:val="j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arial">
    <w:name w:val="arial"/>
    <w:basedOn w:val="a"/>
    <w:uiPriority w:val="99"/>
    <w:pPr>
      <w:spacing w:before="180" w:after="90" w:line="300" w:lineRule="auto"/>
      <w:ind w:left="15" w:right="45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800000"/>
      <w:u w:val="none"/>
      <w:effect w:val="none"/>
    </w:rPr>
  </w:style>
  <w:style w:type="character" w:styleId="a4">
    <w:name w:val="FollowedHyperlink"/>
    <w:basedOn w:val="a0"/>
    <w:uiPriority w:val="99"/>
    <w:rPr>
      <w:color w:val="800000"/>
      <w:u w:val="none"/>
      <w:effect w:val="none"/>
    </w:rPr>
  </w:style>
  <w:style w:type="paragraph" w:styleId="a5">
    <w:name w:val="Normal (Web)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left">
    <w:name w:val="left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</w:rPr>
  </w:style>
  <w:style w:type="paragraph" w:customStyle="1" w:styleId="right">
    <w:name w:val="right"/>
    <w:basedOn w:val="a"/>
    <w:uiPriority w:val="99"/>
    <w:pPr>
      <w:spacing w:before="180" w:after="90" w:line="300" w:lineRule="auto"/>
      <w:ind w:left="15" w:right="45"/>
      <w:jc w:val="right"/>
    </w:pPr>
    <w:rPr>
      <w:rFonts w:ascii="Verdana" w:hAnsi="Verdana" w:cs="Verdana"/>
    </w:rPr>
  </w:style>
  <w:style w:type="paragraph" w:customStyle="1" w:styleId="center">
    <w:name w:val="center"/>
    <w:basedOn w:val="a"/>
    <w:uiPriority w:val="99"/>
    <w:pPr>
      <w:spacing w:before="180" w:after="90" w:line="300" w:lineRule="auto"/>
      <w:ind w:left="15" w:right="45"/>
      <w:jc w:val="center"/>
    </w:pPr>
    <w:rPr>
      <w:rFonts w:ascii="Verdana" w:hAnsi="Verdana" w:cs="Verdana"/>
    </w:rPr>
  </w:style>
  <w:style w:type="paragraph" w:customStyle="1" w:styleId="a6">
    <w:name w:val="a"/>
    <w:basedOn w:val="a"/>
    <w:uiPriority w:val="99"/>
    <w:pPr>
      <w:spacing w:before="180" w:after="90" w:line="300" w:lineRule="auto"/>
      <w:ind w:left="15" w:right="45" w:firstLine="480"/>
      <w:jc w:val="both"/>
    </w:pPr>
    <w:rPr>
      <w:rFonts w:ascii="Verdana" w:hAnsi="Verdana" w:cs="Verdana"/>
    </w:rPr>
  </w:style>
  <w:style w:type="paragraph" w:customStyle="1" w:styleId="t8">
    <w:name w:val="t8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sz w:val="16"/>
      <w:szCs w:val="16"/>
    </w:rPr>
  </w:style>
  <w:style w:type="paragraph" w:customStyle="1" w:styleId="t8c">
    <w:name w:val="t8c"/>
    <w:basedOn w:val="a"/>
    <w:uiPriority w:val="99"/>
    <w:pPr>
      <w:spacing w:before="180" w:after="90" w:line="300" w:lineRule="auto"/>
      <w:ind w:left="15" w:right="45"/>
      <w:jc w:val="center"/>
    </w:pPr>
    <w:rPr>
      <w:rFonts w:ascii="Verdana" w:hAnsi="Verdana" w:cs="Verdana"/>
      <w:sz w:val="16"/>
      <w:szCs w:val="16"/>
    </w:rPr>
  </w:style>
  <w:style w:type="paragraph" w:customStyle="1" w:styleId="mc">
    <w:name w:val="mc"/>
    <w:basedOn w:val="a"/>
    <w:uiPriority w:val="99"/>
    <w:pPr>
      <w:spacing w:before="15" w:after="30" w:line="300" w:lineRule="auto"/>
      <w:ind w:left="15" w:right="45"/>
      <w:jc w:val="center"/>
    </w:pPr>
    <w:rPr>
      <w:rFonts w:ascii="Verdana" w:hAnsi="Verdana" w:cs="Verdana"/>
    </w:rPr>
  </w:style>
  <w:style w:type="paragraph" w:customStyle="1" w:styleId="head">
    <w:name w:val="head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6"/>
      <w:szCs w:val="26"/>
    </w:rPr>
  </w:style>
  <w:style w:type="paragraph" w:customStyle="1" w:styleId="head2">
    <w:name w:val="head2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32"/>
      <w:szCs w:val="32"/>
    </w:rPr>
  </w:style>
  <w:style w:type="paragraph" w:customStyle="1" w:styleId="head3">
    <w:name w:val="head3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8"/>
      <w:szCs w:val="28"/>
    </w:rPr>
  </w:style>
  <w:style w:type="paragraph" w:customStyle="1" w:styleId="head4">
    <w:name w:val="head4"/>
    <w:basedOn w:val="a"/>
    <w:uiPriority w:val="99"/>
    <w:pPr>
      <w:spacing w:before="90" w:after="45" w:line="300" w:lineRule="auto"/>
      <w:ind w:left="15" w:right="45"/>
    </w:pPr>
    <w:rPr>
      <w:rFonts w:ascii="Arial" w:hAnsi="Arial" w:cs="Arial"/>
      <w:b/>
      <w:bCs/>
      <w:sz w:val="24"/>
      <w:szCs w:val="24"/>
    </w:rPr>
  </w:style>
  <w:style w:type="paragraph" w:customStyle="1" w:styleId="link">
    <w:name w:val="link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  <w:color w:val="800000"/>
    </w:rPr>
  </w:style>
  <w:style w:type="paragraph" w:customStyle="1" w:styleId="j">
    <w:name w:val="j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arial">
    <w:name w:val="arial"/>
    <w:basedOn w:val="a"/>
    <w:uiPriority w:val="99"/>
    <w:pPr>
      <w:spacing w:before="180" w:after="90" w:line="300" w:lineRule="auto"/>
      <w:ind w:left="15" w:right="45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3274</Words>
  <Characters>18666</Characters>
  <Application>Microsoft Office Word</Application>
  <DocSecurity>0</DocSecurity>
  <Lines>155</Lines>
  <Paragraphs>43</Paragraphs>
  <ScaleCrop>false</ScaleCrop>
  <Company>PERSONAL COMPUTERS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Полимиксины – новый взгляд на известные антибиотики</dc:title>
  <dc:creator>USER</dc:creator>
  <cp:lastModifiedBy>Igor</cp:lastModifiedBy>
  <cp:revision>2</cp:revision>
  <dcterms:created xsi:type="dcterms:W3CDTF">2024-07-24T11:32:00Z</dcterms:created>
  <dcterms:modified xsi:type="dcterms:W3CDTF">2024-07-24T11:32:00Z</dcterms:modified>
</cp:coreProperties>
</file>