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E6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Проблемы выбора карбапенемных антибиотиков в конце 90-х гг.</w:t>
      </w:r>
    </w:p>
    <w:p w:rsidR="00000000" w:rsidRDefault="009D6E6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Л.С.Страчунский, Р.С.Козлов, О.У.Стецюк, О.Л.Розенсон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антибиотик из группы  карбапенемов – </w:t>
      </w:r>
      <w:r>
        <w:rPr>
          <w:color w:val="000000"/>
          <w:sz w:val="24"/>
          <w:szCs w:val="24"/>
        </w:rPr>
        <w:t>имипенем – появился в клинической практике в 1980г. К настоящему времени известно более 40 природных и синтетических соединений этой группы, однако для клинического применения используются только несколько препаратов: имипенем, меропенем, биапенем и панипе</w:t>
      </w:r>
      <w:r>
        <w:rPr>
          <w:color w:val="000000"/>
          <w:sz w:val="24"/>
          <w:szCs w:val="24"/>
        </w:rPr>
        <w:t>нем (последние два применяются в основном в Японии). Интерес к этим антибиотикам особенно возрос в последнее время после выхода на рынок в странах Европы (включая Россию) и США нового карбапенема – меропенема. Его появление вызвало вопросы о том, какими пр</w:t>
      </w:r>
      <w:r>
        <w:rPr>
          <w:color w:val="000000"/>
          <w:sz w:val="24"/>
          <w:szCs w:val="24"/>
        </w:rPr>
        <w:t>еимуществами по сравнению с имипенемом он обладает не только invitro, но и, прежде всего, invivo. Это особенно важно в настоящее время, так как все большое количество стационаров переходят на формулярную систему использования препаратов, и вопрос о включен</w:t>
      </w:r>
      <w:r>
        <w:rPr>
          <w:color w:val="000000"/>
          <w:sz w:val="24"/>
          <w:szCs w:val="24"/>
        </w:rPr>
        <w:t>ии в них карбапенемов представляет существенный интерес.</w:t>
      </w:r>
    </w:p>
    <w:p w:rsidR="00000000" w:rsidRDefault="009D6E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Спектр активности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микробиологической точки зрения имеются два существенных различия между меропенемом и имипенемом ( табл.1): меропенем более активен в отношении грамотрицательных бактерий, а имипе</w:t>
      </w:r>
      <w:r>
        <w:rPr>
          <w:color w:val="000000"/>
          <w:sz w:val="24"/>
          <w:szCs w:val="24"/>
        </w:rPr>
        <w:t>нем – в отношении грамположительных микроорганизмов. Возникает вопрос, каково же клиническое значение этих различий? Иными словами, можно ли применять меропенем у тех больных, у которых имипенем был неэффективен, и наоборот?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ТАбл.1. Активность меропенема </w:t>
      </w:r>
      <w:r>
        <w:rPr>
          <w:color w:val="000000"/>
          <w:sz w:val="24"/>
          <w:szCs w:val="24"/>
        </w:rPr>
        <w:t>и имипенема в отношении различных возбудителей (МПК</w:t>
      </w:r>
      <w:r>
        <w:rPr>
          <w:color w:val="000000"/>
          <w:sz w:val="24"/>
          <w:szCs w:val="24"/>
          <w:vertAlign w:val="subscript"/>
        </w:rPr>
        <w:t>90</w:t>
      </w:r>
      <w:r>
        <w:rPr>
          <w:color w:val="000000"/>
          <w:sz w:val="24"/>
          <w:szCs w:val="24"/>
        </w:rPr>
        <w:t>,мг/л)  [1cдоп.]</w:t>
      </w:r>
    </w:p>
    <w:tbl>
      <w:tblPr>
        <w:tblW w:w="5000" w:type="pct"/>
        <w:tblCellSpacing w:w="15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9988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781"/>
              <w:gridCol w:w="2395"/>
              <w:gridCol w:w="2402"/>
            </w:tblGrid>
            <w:tr w:rsidR="00000000">
              <w:trPr>
                <w:tblCellSpacing w:w="7" w:type="dxa"/>
              </w:trPr>
              <w:tc>
                <w:tcPr>
                  <w:tcW w:w="25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Микроорганизмы</w:t>
                  </w:r>
                </w:p>
              </w:tc>
              <w:tc>
                <w:tcPr>
                  <w:tcW w:w="125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Меропенем</w:t>
                  </w:r>
                </w:p>
              </w:tc>
              <w:tc>
                <w:tcPr>
                  <w:tcW w:w="125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Имипенем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Грамположительные аэробы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Staphylococcus aureus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0,13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Staphylococcus pneumoniae чувствительные к  пенициллину резистентные к пенициллину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0,25 1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0,06 0,5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Streptococcus pyogenes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&lt;0,06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&lt;0,06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Enterococcus faecalis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Грамположительные аэробы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Escherichia coli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&lt;0,06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0,5 (0,5)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Klebsiella pneumoniae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0,06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 (0,5)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Enterobacter cloacae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 (2)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Proteus mirabilis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0,25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4 (2)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Haemophilus influenzae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0,13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Neisseria meningitidis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0,03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0,13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Pseudomonas aeruginosa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8 (4)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Acinetobacter anitratus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2 (1)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3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Анаэробы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Bacteroides fragilis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Clostridium perfringens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&lt;0,06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0,25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Clostridium difficile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Peptostreptococcus anaerobius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</w:t>
                  </w:r>
                </w:p>
              </w:tc>
            </w:tr>
          </w:tbl>
          <w:p w:rsidR="00000000" w:rsidRDefault="009D6E6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* В ско</w:t>
      </w:r>
      <w:r>
        <w:rPr>
          <w:color w:val="000000"/>
          <w:sz w:val="24"/>
          <w:szCs w:val="24"/>
        </w:rPr>
        <w:t>бках результаты исследования штаммов, выделенных у больных отделений интенсивной терапии в 10 центрах России в 1995-96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Строить политику применения  карбапенемов на абсолютных значениях их активности invitro или результатах единичных неконтролируемых клинич</w:t>
      </w:r>
      <w:r>
        <w:rPr>
          <w:color w:val="000000"/>
          <w:sz w:val="24"/>
          <w:szCs w:val="24"/>
        </w:rPr>
        <w:t>еских исследований достаточно опрометчиво, ибо это может привести к серьезным ошибкам. Например, хорошо известно, что имипенем значительно более активен, чем меропенем в отношении всех стафилококков в целом и метициллин-резистентных Staphylococcus aureus (</w:t>
      </w:r>
      <w:r>
        <w:rPr>
          <w:color w:val="000000"/>
          <w:sz w:val="24"/>
          <w:szCs w:val="24"/>
        </w:rPr>
        <w:t>MRSA) в частности  [2]. Имеются и клинические наблюдения, опубликованные в одном из самых авторитетных в мире журнале по антимикробной химиотерапии, об успешном лечении 10 из 11 пациентов с инфекциями, вызванными MRSA  [3]. Однако, этих данных совершенно н</w:t>
      </w:r>
      <w:r>
        <w:rPr>
          <w:color w:val="000000"/>
          <w:sz w:val="24"/>
          <w:szCs w:val="24"/>
        </w:rPr>
        <w:t>едостаточно для изменения сложившихся подходов к терапии инфекций, вызванных MRSA, поэтому в мире продолжают рассматривать MRSA как устойчивые ко всем  b-лактамным антибиотикам (включая карбапенемы) и назначают таким больным гликопептиды (ванкомицин и тейк</w:t>
      </w:r>
      <w:r>
        <w:rPr>
          <w:color w:val="000000"/>
          <w:sz w:val="24"/>
          <w:szCs w:val="24"/>
        </w:rPr>
        <w:t>опланин). В отношении грамположительных микроорганизмов наибольшее клиническое значение может иметь более высокая активность имипенема в отношении пневмококков, включая пенициллин-резистентные штаммы.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терапии синегнойной инфекции необходимо учитывать, </w:t>
      </w:r>
      <w:r>
        <w:rPr>
          <w:color w:val="000000"/>
          <w:sz w:val="24"/>
          <w:szCs w:val="24"/>
        </w:rPr>
        <w:t>что меропенем активнее имипенема. Кроме того, 43,8% имипенем-резистентных штаммов P.aeruginosa сохраняют чувствительность к меропенему  [4], хотя контролируемых клинических исследований по этой проблеме не проводилось. Потенциальное клиническое значение им</w:t>
      </w:r>
      <w:r>
        <w:rPr>
          <w:color w:val="000000"/>
          <w:sz w:val="24"/>
          <w:szCs w:val="24"/>
        </w:rPr>
        <w:t>еет более высокая активность меропенема в отношении Burkholderia (Pseudomonas) cepacia, так как этот возбудитель часто вызывает инфекции у больных с муковисцидозом  [5]. Однако активность invitro не всегда коррелирует с клинической эффективностью у пациент</w:t>
      </w:r>
      <w:r>
        <w:rPr>
          <w:color w:val="000000"/>
          <w:sz w:val="24"/>
          <w:szCs w:val="24"/>
        </w:rPr>
        <w:t>ов с муковисцидозом, поэтому следует провести клинические исследования меропенема у этих больных.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Оба препарата имеют самый широкий спектр активности среди всех  b-лактамных антибиотиков, поэтому иногда их называют антибиотиками ультраширокого спектра. Но,</w:t>
      </w:r>
      <w:r>
        <w:rPr>
          <w:color w:val="000000"/>
          <w:sz w:val="24"/>
          <w:szCs w:val="24"/>
        </w:rPr>
        <w:t xml:space="preserve"> тем не менее, встречаются микроорганизмы с первичной (природной) и вторичной (приобретенной) резистентностью к этим препаратам. Например, Stenotrophomonas maltophilia, Flavobacterium spp. являются первично устойчивыми к имипенему и меропенему. Вторичная (</w:t>
      </w:r>
      <w:r>
        <w:rPr>
          <w:color w:val="000000"/>
          <w:sz w:val="24"/>
          <w:szCs w:val="24"/>
        </w:rPr>
        <w:t>приобретенная) устойчивость к  карбапенемам возникает очень редко. По нашим данным, резистентность госпитальных штаммов к имипенему в отделениях интенсивной терапии в России в 1995-1996 гг. у P.aeruginosa составила около 7%, а устойчивых штаммов E.coli, K.</w:t>
      </w:r>
      <w:r>
        <w:rPr>
          <w:color w:val="000000"/>
          <w:sz w:val="24"/>
          <w:szCs w:val="24"/>
        </w:rPr>
        <w:t>pneumoniae, P.mirabilis, Enterobacter spp. выявлено не было  [6]. Устойчивые штаммы часто сохраняют чувствительность к  цефалоспоринам III поколения. Так, по нашим данным, 20 (95,2%) из 21 имипенем-резистентных штаммов P.aeruginosa сохраняли чувствительнос</w:t>
      </w:r>
      <w:r>
        <w:rPr>
          <w:color w:val="000000"/>
          <w:sz w:val="24"/>
          <w:szCs w:val="24"/>
        </w:rPr>
        <w:t xml:space="preserve">ть к цефтазидиму. Устойчивые микроорганизмы (кроме синегнойной палочки) имеют перекрестную резистентность к имипенему и меропенему, т.е. при наличии устойчивости к одному из этих препаратов, применение другого является неэффективным. Во многом это связано </w:t>
      </w:r>
      <w:r>
        <w:rPr>
          <w:color w:val="000000"/>
          <w:sz w:val="24"/>
          <w:szCs w:val="24"/>
        </w:rPr>
        <w:t>с общими механизмами устойчивости к имипенему и меропенему. Отличия между препаратами являются, в основном, количественными и отмечены только invitro. Так, меропенем гидролизуется одной из карбапенемаз в 6 раз медленнее, чем имипенем, но быстрее, чем  пени</w:t>
      </w:r>
      <w:r>
        <w:rPr>
          <w:color w:val="000000"/>
          <w:sz w:val="24"/>
          <w:szCs w:val="24"/>
        </w:rPr>
        <w:t xml:space="preserve">циллиныцефалоспорины  [7]. Однако, клиническое значение этих фактов </w:t>
      </w:r>
      <w:r>
        <w:rPr>
          <w:color w:val="000000"/>
          <w:sz w:val="24"/>
          <w:szCs w:val="24"/>
        </w:rPr>
        <w:lastRenderedPageBreak/>
        <w:t>не установлено.</w:t>
      </w:r>
    </w:p>
    <w:p w:rsidR="00000000" w:rsidRDefault="009D6E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Фармакокинетика и фармакодинамика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фармакокинетическим параметрам ( табл.2) имипенем и меропенем существенно не различаются: период полувыведения обоих препаратов составл</w:t>
      </w:r>
      <w:r>
        <w:rPr>
          <w:color w:val="000000"/>
          <w:sz w:val="24"/>
          <w:szCs w:val="24"/>
        </w:rPr>
        <w:t>яет почти 1ч; после введения имипенема в крови создаются несколько более высокие концентрации по сравнению с меропенемом; антибиотики примерно одинаково проникают в спинномозговую жидкость. Принципиальным отличием меропенема является то, что он не разрушае</w:t>
      </w:r>
      <w:r>
        <w:rPr>
          <w:color w:val="000000"/>
          <w:sz w:val="24"/>
          <w:szCs w:val="24"/>
        </w:rPr>
        <w:t>тся почечной дегидропептидазой I и поэтому не требует добавления ингибитора этого фермента – циластатина, который входит в состав коммерческих препаратов имипенема.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2. Фармакокинетика имипенема и меропенема [1]</w:t>
      </w:r>
    </w:p>
    <w:tbl>
      <w:tblPr>
        <w:tblW w:w="5000" w:type="pct"/>
        <w:tblCellSpacing w:w="15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9988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4811"/>
              <w:gridCol w:w="2410"/>
              <w:gridCol w:w="2417"/>
            </w:tblGrid>
            <w:tr w:rsidR="00000000">
              <w:trPr>
                <w:tblCellSpacing w:w="7" w:type="dxa"/>
              </w:trPr>
              <w:tc>
                <w:tcPr>
                  <w:tcW w:w="25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25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Имипенем</w:t>
                  </w:r>
                </w:p>
              </w:tc>
              <w:tc>
                <w:tcPr>
                  <w:tcW w:w="125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Меропенем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1/2</w:t>
                  </w:r>
                  <w:r>
                    <w:rPr>
                      <w:color w:val="000000"/>
                      <w:sz w:val="24"/>
                      <w:szCs w:val="24"/>
                    </w:rPr>
                    <w:t>, ч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0,93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0,96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max</w:t>
                  </w:r>
                  <w:r>
                    <w:rPr>
                      <w:color w:val="000000"/>
                      <w:sz w:val="24"/>
                      <w:szCs w:val="24"/>
                    </w:rPr>
                    <w:t>, мг/л (доза 500 мг)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AUC, мг х ч/л (доза 500 мг)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30,1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color w:val="000000"/>
                      <w:sz w:val="24"/>
                      <w:szCs w:val="24"/>
                      <w:vertAlign w:val="subscript"/>
                    </w:rPr>
                    <w:t>max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в ликворе, мг/л невоспаленные мозговые оболочки воспалённые мозговые оболочки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1,0 0,18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2,6 3,28</w:t>
                  </w:r>
                </w:p>
              </w:tc>
            </w:tr>
          </w:tbl>
          <w:p w:rsidR="00000000" w:rsidRDefault="009D6E6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Фармакодинамика карбапенемов сходна с фармакодинамикой других  b-л</w:t>
      </w:r>
      <w:r>
        <w:rPr>
          <w:color w:val="000000"/>
          <w:sz w:val="24"/>
          <w:szCs w:val="24"/>
        </w:rPr>
        <w:t xml:space="preserve">актамных антибиотиков. Согласно современным представлениям, их бактерицидное действие зависит не от максимальной концентрации (как, например, для аминогликозидов), а от времени поддержания уровня в крови выше минимальной подавляющей концентрации (МПК) для </w:t>
      </w:r>
      <w:r>
        <w:rPr>
          <w:color w:val="000000"/>
          <w:sz w:val="24"/>
          <w:szCs w:val="24"/>
        </w:rPr>
        <w:t>данного возбудителя. Поэтому не следует стремиться к тому, чтобы концентрация превышала МПК в 10–15 раз; достаточно ее поддержания на уровне 2-4-кратных значений ( рис.1). Повышение концентрации  b-лактамов выше этого уровня не приводит к увеличению гибели</w:t>
      </w:r>
      <w:r>
        <w:rPr>
          <w:color w:val="000000"/>
          <w:sz w:val="24"/>
          <w:szCs w:val="24"/>
        </w:rPr>
        <w:t xml:space="preserve"> микроорганизмов. В связи с этим более важное значение имеет не величина разовой дозы, а кратность введения  карбапенемов.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E533D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486150" cy="1733550"/>
            <wp:effectExtent l="0" t="0" r="0" b="0"/>
            <wp:docPr id="1" name="Рисунок 1" descr="D:\ref\Пользователи\медицина\Проблемы выбора карбапенемных антибиотиков в конце 90-х гг.files\karb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f\Пользователи\медицина\Проблемы выбора карбапенемных антибиотиков в конце 90-х гг.files\karb9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1. Фармакодинамические основы дозирования карбапенемов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Важным свойством карбапенемов является наличие постантибиотического эффекта в отношении не только грамположительных, но и грамотрицательных микроорганизмов,</w:t>
      </w:r>
      <w:r>
        <w:rPr>
          <w:color w:val="000000"/>
          <w:sz w:val="24"/>
          <w:szCs w:val="24"/>
        </w:rPr>
        <w:t xml:space="preserve"> однако, нет клинических данных о возможности увеличения интервала дозирования. Именно поэтому и меропенем, и имипенем обычно вводят 3–4 раза в сутки. Не совсем обосновано утверждение, что меропенем можно вводить в максимальной суточной дозе 6г, а имипенем</w:t>
      </w:r>
      <w:r>
        <w:rPr>
          <w:color w:val="000000"/>
          <w:sz w:val="24"/>
          <w:szCs w:val="24"/>
        </w:rPr>
        <w:t xml:space="preserve"> – только 4г. Результаты клинических исследований и большой опыт, накопленный в том числе и в России, показывают, что даже для самых тяжелых пациентов достаточно вводить 2–3г имипенема в сутки. Это, по нашему мнению, справедливо и для меропенема. Исключени</w:t>
      </w:r>
      <w:r>
        <w:rPr>
          <w:color w:val="000000"/>
          <w:sz w:val="24"/>
          <w:szCs w:val="24"/>
        </w:rPr>
        <w:t>ем являются пациенты с менингитом, которым следует вводить меропенем в более высоких дозах (6г/сут). В целом, по мнению известного специалиста по химиотерапии профессора S.R.Norrby и его соавторов K.Faulkner и P.Newell (последние являются сотрудниками комп</w:t>
      </w:r>
      <w:r>
        <w:rPr>
          <w:color w:val="000000"/>
          <w:sz w:val="24"/>
          <w:szCs w:val="24"/>
        </w:rPr>
        <w:t>ании "Зенека"), "в клинических испытаниях, когда проводилось прямое сравнение меропенема и имипенема в одинаковых дозах, показана их равная клиническая эффективность. Принимая во внимание эти результаты, а также микробиологические и фармакокинетические дан</w:t>
      </w:r>
      <w:r>
        <w:rPr>
          <w:color w:val="000000"/>
          <w:sz w:val="24"/>
          <w:szCs w:val="24"/>
        </w:rPr>
        <w:t xml:space="preserve">ные, можно считать, что один грамм меропенема эквивалентен одному грамму имипенема"  [1].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точки зрения безопасности наибольшее значение придают влиянию карбапенемов на ЦНС. У больных с бактериальным менингитом меропенем имеет несомненные пр</w:t>
      </w:r>
      <w:r>
        <w:rPr>
          <w:color w:val="000000"/>
          <w:sz w:val="24"/>
          <w:szCs w:val="24"/>
        </w:rPr>
        <w:t>еимущества вследствие отсутствия просудорожной активности, свойственной имипенему. Однако у пациентов без менингита частота судорог практически не отличалась при применении меропенема и имипенема. По обобщенным данным, она составила 0,38% при применении ме</w:t>
      </w:r>
      <w:r>
        <w:rPr>
          <w:color w:val="000000"/>
          <w:sz w:val="24"/>
          <w:szCs w:val="24"/>
        </w:rPr>
        <w:t>ропенема (n=3911), 0,43% – имипенема/циластатина (n=1154) и 0,37% –  цефалоспоринов (n=1891)  [8].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проблемой, которая часто обсуждается при сравнении меропенема и имипенема, является частота развития тошноты и рвоты. Она выше при внутривенном струйн</w:t>
      </w:r>
      <w:r>
        <w:rPr>
          <w:color w:val="000000"/>
          <w:sz w:val="24"/>
          <w:szCs w:val="24"/>
        </w:rPr>
        <w:t xml:space="preserve">ом введении имипенема; поэтому его рекомендуют вводить путем внутривенной капельной инфузии в течение 30–60 мин. Меропенем реже (0,8%) вызывает тошноту и рвоту, поэтому его можно вводить внутривенно струйно. Однако, если проанализировать широко цитируемые </w:t>
      </w:r>
      <w:r>
        <w:rPr>
          <w:color w:val="000000"/>
          <w:sz w:val="24"/>
          <w:szCs w:val="24"/>
        </w:rPr>
        <w:t xml:space="preserve">данные, эти различия являются статистически недостоверными (имипенем/циластатин вызывал тошноту/рвоту у 1,4% больных, p=0,203)  [8], а способ введения (струйное введение в течение 5 мин или внутривенная капельная инфузия) в условиях интенсивной терапии не </w:t>
      </w:r>
      <w:r>
        <w:rPr>
          <w:color w:val="000000"/>
          <w:sz w:val="24"/>
          <w:szCs w:val="24"/>
        </w:rPr>
        <w:t>имеет принципиального значения. У детей тошнота и рвота развивалась у 0,8% в группе меропенема и 0,2% в группе  цефалоспоринов III поколения. Повышение уровня АЛТ отмечено соответственно у 2,7 и 1,3% детей; АСТ – у 2,6 и 1,4%,  [9].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 убедительн</w:t>
      </w:r>
      <w:r>
        <w:rPr>
          <w:color w:val="000000"/>
          <w:sz w:val="24"/>
          <w:szCs w:val="24"/>
        </w:rPr>
        <w:t>ым является утверждение о большей нефротоксичности имипенема по сравнению с меропенемом. При этом упускают из внимания факт, что имипенем применяют в комбинации с циластатином, который, с одной стороны, блокирует дегидропептидазу I, а с другой, предотвраща</w:t>
      </w:r>
      <w:r>
        <w:rPr>
          <w:color w:val="000000"/>
          <w:sz w:val="24"/>
          <w:szCs w:val="24"/>
        </w:rPr>
        <w:t xml:space="preserve">ет развитие нефрототоксичности, которая встречается при применении  b-лактамных антибиотиков. Кроме того, циластатин применяют для снижения нефротоксичности, вызываемой циклоспорином, после трансплантации сердца и костного мозга [ 10, 11]. В сравнительных </w:t>
      </w:r>
      <w:r>
        <w:rPr>
          <w:color w:val="000000"/>
          <w:sz w:val="24"/>
          <w:szCs w:val="24"/>
        </w:rPr>
        <w:t xml:space="preserve">исследованиях меропенема и имипенема повышение уровня креатинина было отмечено практически с одинаковой частотой (0,3 и 0,4%)  [8]. </w:t>
      </w:r>
    </w:p>
    <w:p w:rsidR="00000000" w:rsidRDefault="009D6E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 к применению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уникальный спектр действия карбапенемов, они нашли широкое применение при самых различных и</w:t>
      </w:r>
      <w:r>
        <w:rPr>
          <w:color w:val="000000"/>
          <w:sz w:val="24"/>
          <w:szCs w:val="24"/>
        </w:rPr>
        <w:t xml:space="preserve">нфекциях. Мы выбрали те показания, которые представляют наибольший интерес с точки зрения эффективности монотерапии и безопасности карбапенемов.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Интраабдоминальные инфекции. При назначении терапии больным с интраабдоминальными инфекциями необходимо учитыв</w:t>
      </w:r>
      <w:r>
        <w:rPr>
          <w:color w:val="000000"/>
          <w:sz w:val="24"/>
          <w:szCs w:val="24"/>
        </w:rPr>
        <w:t>ать их полиэтиологическую структуру: грамотрицательные и грамположительные микроорганизмы, неспорообразующие анаэробы и их ассоциации. Спектр активности  карбапенемов перекрывает все эти возбудители, потому их можно рассматривать как препараты второго ряда</w:t>
      </w:r>
      <w:r>
        <w:rPr>
          <w:color w:val="000000"/>
          <w:sz w:val="24"/>
          <w:szCs w:val="24"/>
        </w:rPr>
        <w:t xml:space="preserve"> при интраабдоминальных инфекциях, развившихся во внебольничных условиях, но как препараты выбора при госпитальных инфекциях, у пациентов после абдоминальных операций (перитониты, абсцессы). В контролируемых сравнительных клинических исследованиях меропене</w:t>
      </w:r>
      <w:r>
        <w:rPr>
          <w:color w:val="000000"/>
          <w:sz w:val="24"/>
          <w:szCs w:val="24"/>
        </w:rPr>
        <w:t>ма в дозе 500мг или 1г 3 раза в сутки и имипенема в дозе 500мг 4 раза в сутки не выявлено достоверных различий эффективности, которая составила около 95% в каждой группе  [12]. В другом контролируемом исследовании у 160 больных с тяжелыми интраабдоминальны</w:t>
      </w:r>
      <w:r>
        <w:rPr>
          <w:color w:val="000000"/>
          <w:sz w:val="24"/>
          <w:szCs w:val="24"/>
        </w:rPr>
        <w:t>ми инфекциями эффективность терапии меропенемом составила 91%, а комбинации цефотаксим 2г+ метронидазол 500мг 3 раза в сутки – 100%  [13].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Менингит и абсцесс мозга. При лечении инфекций ЦНС основной задачей является не выбор того или иного карбапенема, а р</w:t>
      </w:r>
      <w:r>
        <w:rPr>
          <w:color w:val="000000"/>
          <w:sz w:val="24"/>
          <w:szCs w:val="24"/>
        </w:rPr>
        <w:t xml:space="preserve">ешение вопроса: нужно ли вообще применять препараты этой группы? Основными возбудителями первичного бактериального менингита являются S.pneumoniae, N.meningitidis и H.influenzae, на долю которых приходится более 80% всех случаев менингита у детей старше 3 </w:t>
      </w:r>
      <w:r>
        <w:rPr>
          <w:color w:val="000000"/>
          <w:sz w:val="24"/>
          <w:szCs w:val="24"/>
        </w:rPr>
        <w:t>мес и взрослых, причем соотношение различных возбудителей меняется в зависимости от возраста. У детей в возрасте 1–3 мес преобладающим возбудителем является H.influenzae. Учитывая этиологическую структуру первичных бактериальных менингитов, трудно найти ме</w:t>
      </w:r>
      <w:r>
        <w:rPr>
          <w:color w:val="000000"/>
          <w:sz w:val="24"/>
          <w:szCs w:val="24"/>
        </w:rPr>
        <w:t>сто для  карбапенемов при лечении первичного менингита; исключение составляют инфекции, вызванные пневмококками со сниженной чувствительностью к  цефалоспоринам III поколения (препаратом выбора в этих случаях является ванкомицин).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многоцентровом исследов</w:t>
      </w:r>
      <w:r>
        <w:rPr>
          <w:color w:val="000000"/>
          <w:sz w:val="24"/>
          <w:szCs w:val="24"/>
        </w:rPr>
        <w:t>ании у детей с бактериальным менингитом без неврологических нарушений эффективность меропенема в дозе 40мг/кг 3 раза в сутки составила 79%, а цефотаксима в дозе 75–100мг/кг 3 раза в сутки – 83%  [14]. Частота нарушений слуха и неврологических осложнений бы</w:t>
      </w:r>
      <w:r>
        <w:rPr>
          <w:color w:val="000000"/>
          <w:sz w:val="24"/>
          <w:szCs w:val="24"/>
        </w:rPr>
        <w:t xml:space="preserve">ла сравнимой в двух группах. У взрослых больных менингитом, вызванным преимущественно H.influenzae, S.pneumoniae и N.meningitidis, при лечении меропенемом выздоровели все 23 больных, а при при лечении цефотаксимом или цефтриаксоном – 17 (77%) из 22  [15]. </w:t>
      </w:r>
      <w:r>
        <w:rPr>
          <w:color w:val="000000"/>
          <w:sz w:val="24"/>
          <w:szCs w:val="24"/>
        </w:rPr>
        <w:t>Малый размер групп не позволяет считать эти результаты достоверными. Сравнительная эффективность меропенема и  цефалоспоринов при менингитах, вызванных пенициллин-резистентными пневмококками, остается неясной. В двух недавно законченных исследованиях у дет</w:t>
      </w:r>
      <w:r>
        <w:rPr>
          <w:color w:val="000000"/>
          <w:sz w:val="24"/>
          <w:szCs w:val="24"/>
        </w:rPr>
        <w:t>ей с менингитами, проведенных в регионах с высоким уровнем резистентности пневмококков к антибиотикам (Испания, Южная Африка и др.), не выявлено каких-либо преимуществ меропенема перед цефотаксимом или цефтриаксоном: клиническая эффективность составила 92%</w:t>
      </w:r>
      <w:r>
        <w:rPr>
          <w:color w:val="000000"/>
          <w:sz w:val="24"/>
          <w:szCs w:val="24"/>
        </w:rPr>
        <w:t xml:space="preserve"> в обеих группах, а частота эрадикации возбудителей – 99%  [9].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вторичном посттравматическом менингите или менингите после нейрохирургических вмешательств основными возбудителями являются синегнойная палочка и энтеробактерии, стафилококки (в зависимост</w:t>
      </w:r>
      <w:r>
        <w:rPr>
          <w:color w:val="000000"/>
          <w:sz w:val="24"/>
          <w:szCs w:val="24"/>
        </w:rPr>
        <w:t>и от эпидемиологической ситуации в стационаре). В этих случаях, а также при вторичных менингитах, вызванных множественно-резистентными грамотрицательными микроорганизмами, карбапенемы можно рассматривать в качестве препаратов резерва. Была показана эффекти</w:t>
      </w:r>
      <w:r>
        <w:rPr>
          <w:color w:val="000000"/>
          <w:sz w:val="24"/>
          <w:szCs w:val="24"/>
        </w:rPr>
        <w:t>вность меропенема у небольшой группы больных менингитом, вызванным P.aeruginosa. [ 16, 17]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1996 году опубликовано ретроспективное исследование из Испании, в котором отмечена высокая эффективность имипенема у взрослых и детей с множественными абсцессами м</w:t>
      </w:r>
      <w:r>
        <w:rPr>
          <w:color w:val="000000"/>
          <w:sz w:val="24"/>
          <w:szCs w:val="24"/>
        </w:rPr>
        <w:t>озга, причем имипенем применяли в дозе 3–4г/сут в течение в среднем 34 дней. Судороги, не связанные с терапией имипенемом, отмечались только у 1 пациента с абсцессом лобной доли  [18]. При остром менингите у детей наблюдался гораздо более высокий процент р</w:t>
      </w:r>
      <w:r>
        <w:rPr>
          <w:color w:val="000000"/>
          <w:sz w:val="24"/>
          <w:szCs w:val="24"/>
        </w:rPr>
        <w:t>азвития судорог: у 7 (33%) из 21, причем, у 6 из них менингит был вызван H.influenzae типа б  [19]. В 1993 году в проспективном исследовании при применении имипенема в суточной дозе 2–4г судороги зарегистрированы у 4 (0,2%) из 1951 пациента, причем у 7% из</w:t>
      </w:r>
      <w:r>
        <w:rPr>
          <w:color w:val="000000"/>
          <w:sz w:val="24"/>
          <w:szCs w:val="24"/>
        </w:rPr>
        <w:t xml:space="preserve"> них имелись сопутствующие заболевания ЦНС и 70% – почечная недостаточность  [20]. Приведенные данные свидетельствуют о том, что эпилептогенная активность имипенема с клинической точки зрения является недостаточно изученной, но с появлением меропенема отпа</w:t>
      </w:r>
      <w:r>
        <w:rPr>
          <w:color w:val="000000"/>
          <w:sz w:val="24"/>
          <w:szCs w:val="24"/>
        </w:rPr>
        <w:t xml:space="preserve">ла необходимость в проведении таких исследований. Вследствие этого при назначении имипенема необходимо соблюдать определенные меры предосторожности (снижать дозу при почечной недостаточности, не вводить в дозе более 4г/сут, не вводить внутривенно струйно, </w:t>
      </w:r>
      <w:r>
        <w:rPr>
          <w:color w:val="000000"/>
          <w:sz w:val="24"/>
          <w:szCs w:val="24"/>
        </w:rPr>
        <w:t>тщательно наблюдать больных с поражением ЦНС). Меропенем является сравнительно новым препаратом, а опыт его использования у больных с инфекциями ЦНС небольшой, поэтому при его применении необходимо обращать внимание на нежелательные явления со стороны ЦНС.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Нейтропеническая лихорадка. Особого внимания заслуживает возможность применения  карбапенемов при нейтропенической лихорадке. Высокая заболеваемость и смертность у этой группы больных, особенно с тяжелой или длительной нейтропенией, требует эмпирического </w:t>
      </w:r>
      <w:r>
        <w:rPr>
          <w:color w:val="000000"/>
          <w:sz w:val="24"/>
          <w:szCs w:val="24"/>
        </w:rPr>
        <w:t>назначения антибиотиков широкого спектра. Классические схемы лечения включают в себя назначение комбинации двух или трех противомикробных препаратов, в то время как карбапенемы можно назначать в виде монотерапии. В ряде клинических исследованиях была показ</w:t>
      </w:r>
      <w:r>
        <w:rPr>
          <w:color w:val="000000"/>
          <w:sz w:val="24"/>
          <w:szCs w:val="24"/>
        </w:rPr>
        <w:t>ана равная или более высокая эффективность имипенема в суточной дозе 2–4г по сравнению с таковой классических схем лечения [ 21,  22]. В настоящее время имипенем разрешен к применению у взрослых больных с нейтропенической лихорадкой. При нейтропенической л</w:t>
      </w:r>
      <w:r>
        <w:rPr>
          <w:color w:val="000000"/>
          <w:sz w:val="24"/>
          <w:szCs w:val="24"/>
        </w:rPr>
        <w:t>ихорадке у 958 больных со злокачественными новообразованиями применение меропенема в дозе по 1г 3 раза в сутки было сравнимо по эффективности с использованием комбинации цефтазидима в дозе 2г 3 раза в сутки и амикацина в дозе 20мг/кг/сутки однократно  [23]</w:t>
      </w:r>
      <w:r>
        <w:rPr>
          <w:color w:val="000000"/>
          <w:sz w:val="24"/>
          <w:szCs w:val="24"/>
        </w:rPr>
        <w:t>. В сравнительном исследовании меропенема (n=483) и комбинации цефтазидима с амикацином (n=475) эффективность составила 56% и 52% соответственно  [24]. Пока меропенем не рекомендован к применению у таких больных, но в будущем, вероятно, нейтропеническая ли</w:t>
      </w:r>
      <w:r>
        <w:rPr>
          <w:color w:val="000000"/>
          <w:sz w:val="24"/>
          <w:szCs w:val="24"/>
        </w:rPr>
        <w:t>хорадка станет одним из показаний к его назначению.</w:t>
      </w:r>
    </w:p>
    <w:p w:rsidR="00000000" w:rsidRDefault="009D6E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стоимости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анализе стоимости оценивали два показателя: стоимость препарата и стоимость его введения на курс лечения. Этот метод позволяет оценить часть затрат на проведение терапии без учета ее </w:t>
      </w:r>
      <w:r>
        <w:rPr>
          <w:color w:val="000000"/>
          <w:sz w:val="24"/>
          <w:szCs w:val="24"/>
        </w:rPr>
        <w:t>клинической эффективности. Если клиническая эффективность двух схем терапии одинакова, что является очевидным по результатам многочисленных контролируемых клинических исследований имипенема и меропенема, то анализ стоимости может иметь определяющее значени</w:t>
      </w:r>
      <w:r>
        <w:rPr>
          <w:color w:val="000000"/>
          <w:sz w:val="24"/>
          <w:szCs w:val="24"/>
        </w:rPr>
        <w:t xml:space="preserve">е для выбора лекарственного препарата. Ниже приведен анализ стоимости имипенема и меропенема при лечении перитонита у взрослого пациента (табл. 3, 4).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3. Стоимость имипинема (Тиенам) и меропенема (Меронем *) и стоимость введения антибиотиков</w:t>
      </w:r>
    </w:p>
    <w:tbl>
      <w:tblPr>
        <w:tblW w:w="5000" w:type="pct"/>
        <w:tblCellSpacing w:w="15" w:type="dxa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9988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31"/>
              <w:gridCol w:w="1734"/>
              <w:gridCol w:w="2880"/>
              <w:gridCol w:w="1543"/>
              <w:gridCol w:w="1550"/>
            </w:tblGrid>
            <w:tr w:rsidR="00000000">
              <w:trPr>
                <w:cantSplit/>
                <w:tblCellSpacing w:w="7" w:type="dxa"/>
              </w:trPr>
              <w:tc>
                <w:tcPr>
                  <w:tcW w:w="1000" w:type="pct"/>
                  <w:vMerge w:val="restar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Форма</w:t>
                  </w:r>
                </w:p>
              </w:tc>
              <w:tc>
                <w:tcPr>
                  <w:tcW w:w="900" w:type="pct"/>
                  <w:vMerge w:val="restar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color w:val="000000"/>
                      <w:sz w:val="24"/>
                      <w:szCs w:val="24"/>
                    </w:rPr>
                    <w:t>тоимость флакона, $</w:t>
                  </w:r>
                </w:p>
              </w:tc>
              <w:tc>
                <w:tcPr>
                  <w:tcW w:w="1500" w:type="pct"/>
                  <w:vMerge w:val="restar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Способ введения</w:t>
                  </w:r>
                </w:p>
              </w:tc>
              <w:tc>
                <w:tcPr>
                  <w:tcW w:w="1600" w:type="pct"/>
                  <w:gridSpan w:val="2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руб  *</w:t>
                  </w:r>
                </w:p>
              </w:tc>
              <w:tc>
                <w:tcPr>
                  <w:tcW w:w="8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$  *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Тиенам, 0,5 г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Внутривенная инфузия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14730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2,52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Меронем, 0,5 г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26,4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Внутривенная инъекция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2161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0,37</w:t>
                  </w:r>
                </w:p>
              </w:tc>
            </w:tr>
          </w:tbl>
          <w:p w:rsidR="00000000" w:rsidRDefault="009D6E6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*закупочная стоимость у производителей с учетом 10% пошлины, **прейскурант цен на меди</w:t>
      </w:r>
      <w:r>
        <w:rPr>
          <w:color w:val="000000"/>
          <w:sz w:val="24"/>
          <w:szCs w:val="24"/>
        </w:rPr>
        <w:t>цинские услуги Смоленской областной клинической больницы, 1997г. ***1 доллар США = 5850 рублей.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4. Стоимость применения имипинема (Тиенам) и меропенема (Меронем) при перитоните у взрослого</w:t>
      </w:r>
    </w:p>
    <w:tbl>
      <w:tblPr>
        <w:tblW w:w="5000" w:type="pct"/>
        <w:tblCellSpacing w:w="15" w:type="dxa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9988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544"/>
              <w:gridCol w:w="1347"/>
              <w:gridCol w:w="1348"/>
              <w:gridCol w:w="1348"/>
              <w:gridCol w:w="1348"/>
              <w:gridCol w:w="1348"/>
              <w:gridCol w:w="1355"/>
            </w:tblGrid>
            <w:tr w:rsidR="00000000">
              <w:trPr>
                <w:cantSplit/>
                <w:tblCellSpacing w:w="7" w:type="dxa"/>
              </w:trPr>
              <w:tc>
                <w:tcPr>
                  <w:tcW w:w="800" w:type="pct"/>
                  <w:vMerge w:val="restar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0" w:type="pct"/>
                  <w:gridSpan w:val="2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Стоимость препарата, $</w:t>
                  </w:r>
                </w:p>
              </w:tc>
              <w:tc>
                <w:tcPr>
                  <w:tcW w:w="1400" w:type="pct"/>
                  <w:gridSpan w:val="2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Стоимость введения</w:t>
                  </w:r>
                </w:p>
              </w:tc>
              <w:tc>
                <w:tcPr>
                  <w:tcW w:w="1400" w:type="pct"/>
                  <w:gridSpan w:val="2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Доза</w:t>
                  </w:r>
                </w:p>
              </w:tc>
              <w:tc>
                <w:tcPr>
                  <w:tcW w:w="7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7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Доза</w:t>
                  </w:r>
                </w:p>
              </w:tc>
              <w:tc>
                <w:tcPr>
                  <w:tcW w:w="7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Курс</w:t>
                  </w:r>
                </w:p>
              </w:tc>
              <w:tc>
                <w:tcPr>
                  <w:tcW w:w="7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7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руб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Имипенем (Тиенам)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18,70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748,00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2,52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100,72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848,72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4965000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Меропенем (Меронем)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26,40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1056,00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0,37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14,78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1070,78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6264040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gridSpan w:val="5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Разница стоимости лечения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222,06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1299040</w:t>
                  </w:r>
                </w:p>
              </w:tc>
            </w:tr>
          </w:tbl>
          <w:p w:rsidR="00000000" w:rsidRDefault="009D6E6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Дозы обоих антибиотиков взяты из расчета по 0,5г 4 раза в сутки при курсе</w:t>
      </w:r>
      <w:r>
        <w:rPr>
          <w:color w:val="000000"/>
          <w:sz w:val="24"/>
          <w:szCs w:val="24"/>
        </w:rPr>
        <w:t xml:space="preserve"> лечения 10 дней. Различался только способ введения препаратов: имипенем в виде внутривенных инфузий, а меропенем в виде внутривенных инъекций. Стоимость меропенема и его внутривенного струйного введения на курс лечения перитонита у взрослого пациента на 1</w:t>
      </w:r>
      <w:r>
        <w:rPr>
          <w:color w:val="000000"/>
          <w:sz w:val="24"/>
          <w:szCs w:val="24"/>
        </w:rPr>
        <w:t>,3 миллиона рублей (222 доллара США) превышает стоимость имипенема при внутривенном инфузионном введении. Эта разница, несмотря на достаточное различие в стоимости введения антибиотиков – внутривенная инфузия имипенема за 10 дней терапии на 85,94 доллара С</w:t>
      </w:r>
      <w:r>
        <w:rPr>
          <w:color w:val="000000"/>
          <w:sz w:val="24"/>
          <w:szCs w:val="24"/>
        </w:rPr>
        <w:t>ША дороже внутривенной инъекции меропенема – связана с более высокой стоимостью нового карбапенема. Подобный анализ стоимости имипенема и меропенема при лечении 7-летнего ребенка с массой тела 25кг показал, что стоимость меропенем&gt;а и его внутривенного стр</w:t>
      </w:r>
      <w:r>
        <w:rPr>
          <w:color w:val="000000"/>
          <w:sz w:val="24"/>
          <w:szCs w:val="24"/>
        </w:rPr>
        <w:t>уйного введения на курс лечения на 400000 рублей (68 долларов США) превышает стоимость имипенема и его внутривенного инфузионного введения.</w:t>
      </w:r>
    </w:p>
    <w:p w:rsidR="00000000" w:rsidRDefault="009D6E6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Появление меропенема значительно повысило интерес к  карбапенемам, но врачи не должны считать, что получи</w:t>
      </w:r>
      <w:r>
        <w:rPr>
          <w:color w:val="000000"/>
          <w:sz w:val="24"/>
          <w:szCs w:val="24"/>
        </w:rPr>
        <w:t>ли принципиально новый антибиотик. Как видно из  табл.5, имипенем и меропенем являются весьма близкими препаратами. Эксперты независимого журнала "The Medical Letter" считают, что "меропенем является достаточно дорогим новым парентеральным антибиотиком, сх</w:t>
      </w:r>
      <w:r>
        <w:rPr>
          <w:color w:val="000000"/>
          <w:sz w:val="24"/>
          <w:szCs w:val="24"/>
        </w:rPr>
        <w:t>одным с имипенемом, с возможно более низким просудорожным потенциалом. Меропенем, как и имипенем, может использоваться для лечения госпитальных инфекций, вызываемых возбудителями, устойчивыми к другим антибиотикам. При лечении интраабдоминальных инфекций и</w:t>
      </w:r>
      <w:r>
        <w:rPr>
          <w:color w:val="000000"/>
          <w:sz w:val="24"/>
          <w:szCs w:val="24"/>
        </w:rPr>
        <w:t>ли бактериального менингита меропенем не имеет принципиальных преимуществ перед более известными и менее дорогими препаратами"  [23]. При решении вопроса о выборе карбапенемного антибиотика основными аргументами должны быть, по нашему мнению, локализация и</w:t>
      </w:r>
      <w:r>
        <w:rPr>
          <w:color w:val="000000"/>
          <w:sz w:val="24"/>
          <w:szCs w:val="24"/>
        </w:rPr>
        <w:t>нфекции (при инфекциях ЦНС следует отдавать предпочтение меропенему) и стоимость препарата. Что касается микробиологических и фармакокинетических отличий, то до получения результатов контролируемых клинических испытаний, они не могут являться определяющими</w:t>
      </w:r>
      <w:r>
        <w:rPr>
          <w:color w:val="000000"/>
          <w:sz w:val="24"/>
          <w:szCs w:val="24"/>
        </w:rPr>
        <w:t>. Мы не должны путать понятия "монотерапия карбапенемами" и "монополия" на их применение, которое неизбежно приведет к появлению и распространению устойчивости среди микроорганизмов. Однако не следует также рассматривать  карбапенемы как препараты "глубоко</w:t>
      </w:r>
      <w:r>
        <w:rPr>
          <w:color w:val="000000"/>
          <w:sz w:val="24"/>
          <w:szCs w:val="24"/>
        </w:rPr>
        <w:t>го резерва", назначая их только больным в критическом состоянии, когда отсутствует эффект от антибактериальной терапии. В будущем реальными преимуществами будут обладать новые карбапенемы с активностью в отношении MRSA и энтерококков; более длительным пери</w:t>
      </w:r>
      <w:r>
        <w:rPr>
          <w:color w:val="000000"/>
          <w:sz w:val="24"/>
          <w:szCs w:val="24"/>
        </w:rPr>
        <w:t>одом полувыведения, позволяющим применять антибиотик 1 раз в сутки; возможностью перорального приема. Однако, и при оценке возможностей их применения решающими аргументами должны стать результаты контролируемых клинических исследований.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5. Сравнение</w:t>
      </w:r>
      <w:r>
        <w:rPr>
          <w:color w:val="000000"/>
          <w:sz w:val="24"/>
          <w:szCs w:val="24"/>
        </w:rPr>
        <w:t xml:space="preserve"> имипенема и меропенема</w:t>
      </w:r>
    </w:p>
    <w:tbl>
      <w:tblPr>
        <w:tblW w:w="5000" w:type="pct"/>
        <w:tblCellSpacing w:w="15" w:type="dxa"/>
        <w:tblInd w:w="-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9988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318"/>
              <w:gridCol w:w="2310"/>
              <w:gridCol w:w="2310"/>
              <w:gridCol w:w="2700"/>
            </w:tblGrid>
            <w:tr w:rsidR="00000000">
              <w:trPr>
                <w:tblCellSpacing w:w="7" w:type="dxa"/>
              </w:trPr>
              <w:tc>
                <w:tcPr>
                  <w:tcW w:w="12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Имипенем</w:t>
                  </w:r>
                </w:p>
              </w:tc>
              <w:tc>
                <w:tcPr>
                  <w:tcW w:w="12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Меропенем</w:t>
                  </w:r>
                </w:p>
              </w:tc>
              <w:tc>
                <w:tcPr>
                  <w:tcW w:w="1400" w:type="pct"/>
                  <w:shd w:val="clear" w:color="auto" w:fill="F2EAD9"/>
                  <w:vAlign w:val="center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Клиническое значение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Грамм(+) бактерии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Более активен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Менее активен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доказано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Грамм(-) бактерии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Менее активен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Более активен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доказано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Вторичная устойчивость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Редко, чаще перекрестная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Редко, чаще перекрестная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 определено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Фармакокинетика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Сходая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Сходая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Безопасность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Просудорожная активность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Нет просудорожной активности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Применение меропенема при инфекциях ЦНС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Особенности введения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Внутривенно капельно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Внутривенно струйно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Более экономично струйное введение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Стоимость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Менее высокая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Более высокая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9D6E62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Экономия средств при применении имипенема</w:t>
                  </w:r>
                </w:p>
              </w:tc>
            </w:tr>
          </w:tbl>
          <w:p w:rsidR="00000000" w:rsidRDefault="009D6E6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9D6E6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Norrby S., Faulkner K., Newell P. Infect. Dis. Clin. Practice, 1997, 6, 291–303.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Knapp C., Ludwig M. et al. Diagn. Microb. Infect. Dis., 1997, 28, 81–</w:t>
      </w:r>
      <w:r>
        <w:rPr>
          <w:color w:val="000000"/>
          <w:sz w:val="24"/>
          <w:szCs w:val="24"/>
          <w:lang w:val="en-US"/>
        </w:rPr>
        <w:t xml:space="preserve">86.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Fann W. et al. Antimicrob. Agents Chemother., 1986, 29, 26–29.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Iaconis J.P., Pitkin D.H. et al. Clin. Infect. Dis., 1997, 24 (Suppl. 2), S191–S196.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Simpson I., Hunter R., Gowan J. J. Antimicrob. </w:t>
      </w:r>
      <w:r>
        <w:rPr>
          <w:color w:val="000000"/>
          <w:sz w:val="24"/>
          <w:szCs w:val="24"/>
        </w:rPr>
        <w:t xml:space="preserve">Chemother., 1995, 35, 707–713.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антибиотикор</w:t>
      </w:r>
      <w:r>
        <w:rPr>
          <w:color w:val="000000"/>
          <w:sz w:val="24"/>
          <w:szCs w:val="24"/>
        </w:rPr>
        <w:t xml:space="preserve">езистентности грамотрицательных возбудителей нозокомиальных инфекций в отделениях интенсивной терапии. Межведомств. научный совет по внутрибол. инф. при РАМН и Минздраве РФ, Межрегион. ассоциация по клин. микроб. и антимикроб. химиотер., 1997.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Baxter I.A.</w:t>
      </w:r>
      <w:r>
        <w:rPr>
          <w:color w:val="000000"/>
          <w:sz w:val="24"/>
          <w:szCs w:val="24"/>
          <w:lang w:val="en-US"/>
        </w:rPr>
        <w:t xml:space="preserve">, Lambert P.A. FEMS Microb. Letters, 1994, 122, 251.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Norrby S.R. et al. J. Antimicrob. Chemother., 1995, 36 (Suppl.A), 207–223.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Bradley J.S. Data on file, Zeneca, 1997.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Markewitz et al. Transplant., 1994, 57, 865–870.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Gruss E. et al. Bone Marrow Transp</w:t>
      </w:r>
      <w:r>
        <w:rPr>
          <w:color w:val="000000"/>
          <w:sz w:val="24"/>
          <w:szCs w:val="24"/>
          <w:lang w:val="en-US"/>
        </w:rPr>
        <w:t xml:space="preserve">lant., 1996, 18, 761–765.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Geroulanos S.J. et al. J. Antimicrob. Chemother., 1995, 36 (Suppl.A), 191.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Huizinga W.K.J. et al. J. Antimicrob. Chemother., 1995, 36 (Suppl.A), 179. &lt; a&gt;Klugman K.P. et al. Antimicrob. Agents Chemother., 1995, 39, 1140.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Schmut</w:t>
      </w:r>
      <w:r>
        <w:rPr>
          <w:color w:val="000000"/>
          <w:sz w:val="24"/>
          <w:szCs w:val="24"/>
          <w:lang w:val="en-US"/>
        </w:rPr>
        <w:t xml:space="preserve">zhard E. et al. J. Antimicrob. Chemother., 1995, 36 (Suppl. A), 85.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Chmelik V., Gutvirth J. J. Antimicrob. Chemother., 1993, 32, 922.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Donnelly J.P. et al. Lancet, 1992, 339, 1117.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Asensi V. Carton J. et al. Eur. J. Clin. Microbiol. Infect. Dis., 1996, 1</w:t>
      </w:r>
      <w:r>
        <w:rPr>
          <w:color w:val="000000"/>
          <w:sz w:val="24"/>
          <w:szCs w:val="24"/>
          <w:lang w:val="en-US"/>
        </w:rPr>
        <w:t xml:space="preserve">5, 653–657.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Wong V.K., Wright H.T., Ross L.A. Pediatr. Infect. Dis. J., 1991, 10, 122–125.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Prestonik S., Classen D. et al. Annals Pharmacother., 1993, 27, 497–501.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Winston D., Winston G. et al. Ann. Intern. Med., 1991, 115, 849–859.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Rolston K.V., Berkey P., Bodey G. et al. Arch. Intern. Med., 1992, 152, 283–291. </w:t>
      </w:r>
    </w:p>
    <w:p w:rsidR="00000000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Medical Letter, 1996, 38 (984), 88–90. </w:t>
      </w:r>
    </w:p>
    <w:p w:rsidR="009D6E62" w:rsidRDefault="009D6E6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Cometta A. et al. Antimicrob. Agents Chemother., 1996, 40, 1108–1115. </w:t>
      </w:r>
    </w:p>
    <w:sectPr w:rsidR="009D6E6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DC"/>
    <w:rsid w:val="009D6E62"/>
    <w:rsid w:val="00E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713F6E-C4F5-4F3B-B093-D85428B0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Verdana" w:hAnsi="Verdana" w:cs="Verdana"/>
      <w:b/>
      <w:bCs/>
      <w:spacing w:val="15"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pacing w:val="15"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spacing w:val="15"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5"/>
      <w:ind w:left="30"/>
      <w:outlineLvl w:val="3"/>
    </w:pPr>
    <w:rPr>
      <w:rFonts w:ascii="Arial" w:hAnsi="Arial" w:cs="Arial"/>
      <w:b/>
      <w:bCs/>
      <w:spacing w:val="15"/>
      <w:sz w:val="26"/>
      <w:szCs w:val="26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spacing w:val="15"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auto"/>
      <w:u w:val="none"/>
      <w:effect w:val="none"/>
    </w:rPr>
  </w:style>
  <w:style w:type="character" w:styleId="a4">
    <w:name w:val="FollowedHyperlink"/>
    <w:basedOn w:val="a0"/>
    <w:uiPriority w:val="99"/>
    <w:rPr>
      <w:color w:val="auto"/>
      <w:u w:val="none"/>
      <w:effect w:val="none"/>
    </w:rPr>
  </w:style>
  <w:style w:type="paragraph" w:styleId="a5">
    <w:name w:val="Normal (Web)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</w:rPr>
  </w:style>
  <w:style w:type="paragraph" w:customStyle="1" w:styleId="r">
    <w:name w:val="r"/>
    <w:basedOn w:val="a"/>
    <w:uiPriority w:val="99"/>
    <w:pPr>
      <w:spacing w:before="150" w:after="75" w:line="300" w:lineRule="auto"/>
      <w:ind w:left="30" w:right="45"/>
      <w:jc w:val="right"/>
    </w:pPr>
    <w:rPr>
      <w:rFonts w:ascii="Verdana" w:hAnsi="Verdana" w:cs="Verdana"/>
    </w:rPr>
  </w:style>
  <w:style w:type="paragraph" w:customStyle="1" w:styleId="c">
    <w:name w:val="c"/>
    <w:basedOn w:val="a"/>
    <w:uiPriority w:val="99"/>
    <w:pPr>
      <w:spacing w:before="150" w:after="75" w:line="300" w:lineRule="auto"/>
      <w:ind w:left="30" w:right="45"/>
      <w:jc w:val="center"/>
    </w:pPr>
    <w:rPr>
      <w:rFonts w:ascii="Verdana" w:hAnsi="Verdana" w:cs="Verdana"/>
    </w:rPr>
  </w:style>
  <w:style w:type="paragraph" w:customStyle="1" w:styleId="l">
    <w:name w:val="l"/>
    <w:basedOn w:val="a"/>
    <w:uiPriority w:val="99"/>
    <w:pPr>
      <w:spacing w:before="150" w:after="75" w:line="300" w:lineRule="auto"/>
      <w:ind w:left="30" w:right="45"/>
    </w:pPr>
    <w:rPr>
      <w:rFonts w:ascii="Verdana" w:hAnsi="Verdana" w:cs="Verdana"/>
    </w:rPr>
  </w:style>
  <w:style w:type="paragraph" w:customStyle="1" w:styleId="a6">
    <w:name w:val="a"/>
    <w:basedOn w:val="a"/>
    <w:uiPriority w:val="99"/>
    <w:pPr>
      <w:spacing w:before="150" w:after="75" w:line="300" w:lineRule="auto"/>
      <w:ind w:left="30" w:right="45" w:firstLine="480"/>
      <w:jc w:val="both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line="300" w:lineRule="auto"/>
      <w:ind w:left="30" w:right="45"/>
      <w:jc w:val="center"/>
    </w:pPr>
    <w:rPr>
      <w:rFonts w:ascii="Arial" w:hAnsi="Arial" w:cs="Arial"/>
      <w:b/>
      <w:bCs/>
      <w:spacing w:val="15"/>
      <w:sz w:val="18"/>
      <w:szCs w:val="18"/>
    </w:rPr>
  </w:style>
  <w:style w:type="paragraph" w:customStyle="1" w:styleId="m11">
    <w:name w:val="m11"/>
    <w:basedOn w:val="a"/>
    <w:uiPriority w:val="99"/>
    <w:pPr>
      <w:spacing w:before="150" w:after="75" w:line="300" w:lineRule="auto"/>
      <w:ind w:left="75" w:right="45"/>
    </w:pPr>
    <w:rPr>
      <w:rFonts w:ascii="Arial" w:hAnsi="Arial" w:cs="Arial"/>
      <w:sz w:val="22"/>
      <w:szCs w:val="22"/>
    </w:rPr>
  </w:style>
  <w:style w:type="paragraph" w:customStyle="1" w:styleId="m8">
    <w:name w:val="m8"/>
    <w:basedOn w:val="a"/>
    <w:uiPriority w:val="99"/>
    <w:pPr>
      <w:spacing w:before="150" w:after="75" w:line="300" w:lineRule="auto"/>
      <w:ind w:left="75" w:right="45"/>
    </w:pPr>
    <w:rPr>
      <w:rFonts w:ascii="Verdana" w:hAnsi="Verdana" w:cs="Verdana"/>
      <w:sz w:val="16"/>
      <w:szCs w:val="16"/>
    </w:rPr>
  </w:style>
  <w:style w:type="paragraph" w:customStyle="1" w:styleId="t7">
    <w:name w:val="t7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sz w:val="14"/>
      <w:szCs w:val="14"/>
    </w:rPr>
  </w:style>
  <w:style w:type="paragraph" w:customStyle="1" w:styleId="t8">
    <w:name w:val="t8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sz w:val="16"/>
      <w:szCs w:val="16"/>
    </w:rPr>
  </w:style>
  <w:style w:type="paragraph" w:customStyle="1" w:styleId="t9">
    <w:name w:val="t9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sz w:val="18"/>
      <w:szCs w:val="18"/>
    </w:rPr>
  </w:style>
  <w:style w:type="paragraph" w:customStyle="1" w:styleId="t10">
    <w:name w:val="t10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</w:rPr>
  </w:style>
  <w:style w:type="paragraph" w:customStyle="1" w:styleId="t11">
    <w:name w:val="t11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sz w:val="22"/>
      <w:szCs w:val="22"/>
    </w:rPr>
  </w:style>
  <w:style w:type="paragraph" w:customStyle="1" w:styleId="t12">
    <w:name w:val="t12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sz w:val="24"/>
      <w:szCs w:val="24"/>
    </w:rPr>
  </w:style>
  <w:style w:type="paragraph" w:customStyle="1" w:styleId="t13">
    <w:name w:val="t13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sz w:val="26"/>
      <w:szCs w:val="26"/>
    </w:rPr>
  </w:style>
  <w:style w:type="paragraph" w:customStyle="1" w:styleId="t14">
    <w:name w:val="t14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sz w:val="28"/>
      <w:szCs w:val="28"/>
    </w:rPr>
  </w:style>
  <w:style w:type="paragraph" w:customStyle="1" w:styleId="sym">
    <w:name w:val="sym"/>
    <w:basedOn w:val="a"/>
    <w:uiPriority w:val="99"/>
    <w:pPr>
      <w:spacing w:before="150" w:after="75" w:line="300" w:lineRule="auto"/>
      <w:ind w:left="30" w:right="45"/>
      <w:jc w:val="both"/>
    </w:pPr>
    <w:rPr>
      <w:rFonts w:ascii="Symbol" w:hAnsi="Symbol" w:cs="Symbol"/>
    </w:rPr>
  </w:style>
  <w:style w:type="paragraph" w:customStyle="1" w:styleId="d8">
    <w:name w:val="d8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  <w:color w:val="808080"/>
      <w:sz w:val="16"/>
      <w:szCs w:val="16"/>
    </w:rPr>
  </w:style>
  <w:style w:type="paragraph" w:customStyle="1" w:styleId="r8">
    <w:name w:val="r8"/>
    <w:basedOn w:val="a"/>
    <w:uiPriority w:val="99"/>
    <w:pPr>
      <w:spacing w:before="150" w:after="75" w:line="300" w:lineRule="auto"/>
      <w:ind w:left="30" w:right="45"/>
      <w:jc w:val="right"/>
    </w:pPr>
    <w:rPr>
      <w:rFonts w:ascii="Verdana" w:hAnsi="Verdana" w:cs="Verdana"/>
      <w:sz w:val="16"/>
      <w:szCs w:val="16"/>
    </w:rPr>
  </w:style>
  <w:style w:type="paragraph" w:customStyle="1" w:styleId="c8">
    <w:name w:val="c8"/>
    <w:basedOn w:val="a"/>
    <w:uiPriority w:val="99"/>
    <w:pPr>
      <w:spacing w:before="150" w:after="75" w:line="300" w:lineRule="auto"/>
      <w:ind w:left="30" w:right="45"/>
      <w:jc w:val="center"/>
    </w:pPr>
    <w:rPr>
      <w:rFonts w:ascii="Verdana" w:hAnsi="Verdana" w:cs="Verdana"/>
      <w:sz w:val="16"/>
      <w:szCs w:val="16"/>
    </w:rPr>
  </w:style>
  <w:style w:type="paragraph" w:customStyle="1" w:styleId="link">
    <w:name w:val="link"/>
    <w:basedOn w:val="a"/>
    <w:uiPriority w:val="99"/>
    <w:pPr>
      <w:spacing w:before="150" w:after="75" w:line="300" w:lineRule="auto"/>
      <w:ind w:left="30" w:right="45"/>
      <w:jc w:val="both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3577</Words>
  <Characters>20393</Characters>
  <Application>Microsoft Office Word</Application>
  <DocSecurity>0</DocSecurity>
  <Lines>169</Lines>
  <Paragraphs>47</Paragraphs>
  <ScaleCrop>false</ScaleCrop>
  <Company>PERSONAL COMPUTERS</Company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выбора карбапенемных антибиотиков в конце 90-х гг</dc:title>
  <dc:subject/>
  <dc:creator>USER</dc:creator>
  <cp:keywords/>
  <dc:description/>
  <cp:lastModifiedBy>Igor Trofimov</cp:lastModifiedBy>
  <cp:revision>3</cp:revision>
  <dcterms:created xsi:type="dcterms:W3CDTF">2024-07-26T21:19:00Z</dcterms:created>
  <dcterms:modified xsi:type="dcterms:W3CDTF">2024-07-26T21:19:00Z</dcterms:modified>
</cp:coreProperties>
</file>