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F7" w:rsidRDefault="00D213F7">
      <w:bookmarkStart w:id="0" w:name="_GoBack"/>
      <w:bookmarkEnd w:id="0"/>
    </w:p>
    <w:p w:rsidR="00D213F7" w:rsidRDefault="00D21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Обоснование диагноза.</w:t>
      </w:r>
    </w:p>
    <w:p w:rsidR="00D213F7" w:rsidRDefault="00D213F7">
      <w:pPr>
        <w:rPr>
          <w:b/>
          <w:bCs/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Паспортная часть: </w:t>
      </w:r>
    </w:p>
    <w:p w:rsidR="00D213F7" w:rsidRDefault="00D213F7" w:rsidP="00337EE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>Х.</w:t>
      </w:r>
    </w:p>
    <w:p w:rsidR="00D213F7" w:rsidRDefault="00D213F7" w:rsidP="00337EE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Дата рождения </w:t>
      </w:r>
    </w:p>
    <w:p w:rsidR="00D213F7" w:rsidRDefault="00D213F7" w:rsidP="00337EE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Профессия – </w:t>
      </w:r>
    </w:p>
    <w:p w:rsidR="00D213F7" w:rsidRDefault="00D213F7" w:rsidP="00337EE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Поступил - </w:t>
      </w:r>
    </w:p>
    <w:p w:rsidR="00D213F7" w:rsidRDefault="00D213F7" w:rsidP="00337EEB">
      <w:pPr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Курация -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Профессиональная </w:t>
      </w:r>
      <w:proofErr w:type="spellStart"/>
      <w:r>
        <w:rPr>
          <w:sz w:val="28"/>
          <w:szCs w:val="28"/>
        </w:rPr>
        <w:t>гормонзависимая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неинфекционно-алергическая</w:t>
      </w:r>
      <w:proofErr w:type="spellEnd"/>
      <w:r>
        <w:rPr>
          <w:sz w:val="28"/>
          <w:szCs w:val="28"/>
        </w:rPr>
        <w:t xml:space="preserve"> бронхиальная астма, средней степени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>тяжести. Эмфизема. Пневмосклероз. ДН || ст. Компенсированное легочное сердце.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поставлен на основании:</w:t>
      </w:r>
    </w:p>
    <w:p w:rsidR="00D213F7" w:rsidRDefault="00D213F7" w:rsidP="00337EE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Трудового маршрута – с 1958 г. по 1994 г</w:t>
      </w:r>
      <w:r w:rsidR="0006759F">
        <w:rPr>
          <w:sz w:val="28"/>
          <w:szCs w:val="28"/>
        </w:rPr>
        <w:t>.</w:t>
      </w:r>
      <w:r>
        <w:rPr>
          <w:sz w:val="28"/>
          <w:szCs w:val="28"/>
        </w:rPr>
        <w:t xml:space="preserve"> слесарь сборщик на заводе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Радиоприборов. С 1994 г. инвалид 2 – ой группы. </w:t>
      </w:r>
    </w:p>
    <w:p w:rsidR="00D213F7" w:rsidRDefault="00D213F7" w:rsidP="00337EE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санитарно- гигиенических условий труда: рабочее место слесаря- монтажный стол. Рабочая </w:t>
      </w:r>
      <w:r w:rsidR="0006759F">
        <w:rPr>
          <w:sz w:val="28"/>
          <w:szCs w:val="28"/>
        </w:rPr>
        <w:t>поза,</w:t>
      </w:r>
      <w:r>
        <w:rPr>
          <w:sz w:val="28"/>
          <w:szCs w:val="28"/>
        </w:rPr>
        <w:t xml:space="preserve"> в основном сидя -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>75% рабочего времени.</w:t>
      </w:r>
    </w:p>
    <w:p w:rsidR="00D213F7" w:rsidRDefault="00D213F7" w:rsidP="00337EEB">
      <w:pPr>
        <w:pStyle w:val="2"/>
        <w:ind w:left="0" w:firstLine="709"/>
      </w:pPr>
      <w:r>
        <w:t>При работе используется клеящие мастики различных марок</w:t>
      </w:r>
      <w:r w:rsidR="0006759F">
        <w:t>:</w:t>
      </w:r>
      <w:r>
        <w:t xml:space="preserve"> УДН, ВК – 9, ИК – 300. Работа с </w:t>
      </w:r>
      <w:r w:rsidR="0006759F">
        <w:t>клеящими</w:t>
      </w:r>
      <w:r>
        <w:t xml:space="preserve"> мастиками от 115- 120 минут в день. В воздухе рабочей зоны слесаря содержится: этилацетата – 100 мг/м3 (ПДК- 200); </w:t>
      </w:r>
      <w:proofErr w:type="spellStart"/>
      <w:r>
        <w:t>эпихлоргит</w:t>
      </w:r>
      <w:proofErr w:type="spellEnd"/>
      <w:r>
        <w:t xml:space="preserve"> – 0,66 (ПДК –1); концентрация толуола и ксилола в пределах ПДК. Естественное освещение и естественное проветривание помещения сборочного участка оборудовано приточно-вытяжной вентиляцией. Режим работы пятидневная рабочая неделя. В помещении сборочного участка на расстоянии 5- 7 м от рабочего места </w:t>
      </w:r>
      <w:r w:rsidR="0006759F">
        <w:t>больного</w:t>
      </w:r>
      <w:r>
        <w:t xml:space="preserve"> проводятся работы по райке и оплавлению деталей с применением канифоли. Местная вытяжка на рабочем месте слесаря отсутствует.</w:t>
      </w:r>
      <w:r w:rsidR="00337EEB">
        <w:t xml:space="preserve"> </w:t>
      </w:r>
      <w:r>
        <w:t xml:space="preserve">При </w:t>
      </w:r>
      <w:proofErr w:type="spellStart"/>
      <w:r>
        <w:t>контровке</w:t>
      </w:r>
      <w:proofErr w:type="spellEnd"/>
      <w:r>
        <w:t xml:space="preserve"> деталей применяется ЭПК на основе эпоксидных смол, где в качестве отвердителя используется </w:t>
      </w:r>
      <w:proofErr w:type="spellStart"/>
      <w:r>
        <w:t>гексометилендиамин</w:t>
      </w:r>
      <w:proofErr w:type="spellEnd"/>
      <w:r>
        <w:t>. Работа проводится ежедневно в небольшом количестве</w:t>
      </w:r>
      <w:r w:rsidR="00337EEB">
        <w:t xml:space="preserve"> </w:t>
      </w:r>
      <w:r>
        <w:t xml:space="preserve">- 20 мин в смену. ЭПК наносится на гайку монтажным крючком. Эпизодически слесарь проводит механическое сверление плат из стеклотекстолитовых материалов, содержащих </w:t>
      </w:r>
      <w:proofErr w:type="spellStart"/>
      <w:r>
        <w:t>фенольно</w:t>
      </w:r>
      <w:proofErr w:type="spellEnd"/>
      <w:r>
        <w:t>–формальдегидные смолы, при этом возникает выделение формальдегида. Случаев проф. Заболеваний на данном участке не выявлено. Работа в качестве слесаря механических работ по классификации условий и характеристики труда</w:t>
      </w:r>
      <w:r w:rsidR="0006759F">
        <w:t>,</w:t>
      </w:r>
      <w:r>
        <w:t xml:space="preserve"> по вредности и опасности, тяжести и напряженности по факторам, вредным химическим выбросам, тяжесть труда относится ко второму классу (допустимо).</w:t>
      </w:r>
    </w:p>
    <w:p w:rsidR="00D213F7" w:rsidRDefault="00D213F7" w:rsidP="00337EE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мед. Журнала: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здоровья в 1958 г. практически здоров.</w:t>
      </w:r>
    </w:p>
    <w:p w:rsidR="00D213F7" w:rsidRDefault="00D213F7" w:rsidP="00337EEB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</w:t>
      </w:r>
    </w:p>
    <w:p w:rsidR="00D213F7" w:rsidRDefault="00D213F7" w:rsidP="00337EEB">
      <w:pPr>
        <w:pStyle w:val="a3"/>
        <w:ind w:firstLine="709"/>
        <w:jc w:val="both"/>
      </w:pPr>
      <w:r>
        <w:t>Жалобы: на</w:t>
      </w:r>
      <w:r w:rsidR="00337EEB">
        <w:t xml:space="preserve"> </w:t>
      </w:r>
      <w:r>
        <w:t xml:space="preserve">инспираторную </w:t>
      </w:r>
      <w:r w:rsidR="0006759F">
        <w:t>одышку,</w:t>
      </w:r>
      <w:r>
        <w:t xml:space="preserve"> усиливающуюся при физической нагрузке,</w:t>
      </w:r>
      <w:r w:rsidR="00337EEB">
        <w:t xml:space="preserve"> </w:t>
      </w:r>
      <w:r>
        <w:t>периодические приступы удушья, слизисто-гнойную мокроту, затруднение дыхания.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Анамнеза: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1980 г. заболел бронхиальной астмой. Приступы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возникали часто в основном в рабочее время, купировались </w:t>
      </w:r>
      <w:proofErr w:type="spellStart"/>
      <w:r>
        <w:rPr>
          <w:sz w:val="28"/>
          <w:szCs w:val="28"/>
        </w:rPr>
        <w:t>биротеком</w:t>
      </w:r>
      <w:proofErr w:type="spellEnd"/>
      <w:r>
        <w:rPr>
          <w:sz w:val="28"/>
          <w:szCs w:val="28"/>
        </w:rPr>
        <w:t xml:space="preserve">. По 4-5 раз в год находился на стационарном лечении. Во время отпуска количество приступов значительно сокращалось. 1987 г. 3-я группа инвалидности – рабочая. В 1989 г. находился на </w:t>
      </w:r>
      <w:proofErr w:type="spellStart"/>
      <w:r>
        <w:rPr>
          <w:sz w:val="28"/>
          <w:szCs w:val="28"/>
        </w:rPr>
        <w:t>саноторно</w:t>
      </w:r>
      <w:proofErr w:type="spellEnd"/>
      <w:r>
        <w:rPr>
          <w:sz w:val="28"/>
          <w:szCs w:val="28"/>
        </w:rPr>
        <w:t>- курортном лечении в соляной шахте. С 1990 г. принимает преднизолон в таблетках. С 1994 г. 2- я группа инвалидности.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Объективно: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удовлетворительное. </w:t>
      </w:r>
      <w:proofErr w:type="spellStart"/>
      <w:r>
        <w:rPr>
          <w:sz w:val="28"/>
          <w:szCs w:val="28"/>
        </w:rPr>
        <w:t>Нормотермия</w:t>
      </w:r>
      <w:proofErr w:type="spellEnd"/>
      <w:r>
        <w:rPr>
          <w:sz w:val="28"/>
          <w:szCs w:val="28"/>
        </w:rPr>
        <w:t>. Гиперстеник.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Кожные покровы бледно- розовые. Лимфатические узлы не пальпируются. Отеков нет. Тоны сердца приглушены, ритмичные. Артериальное давление 130/90 мм. рт. Ст. Живот мягкий, безболезненный. Печень у края реберной дуги. Стул и диурез в норме. </w:t>
      </w:r>
    </w:p>
    <w:p w:rsidR="00D213F7" w:rsidRDefault="00D213F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</w:t>
      </w:r>
      <w:r>
        <w:rPr>
          <w:sz w:val="28"/>
          <w:szCs w:val="28"/>
        </w:rPr>
        <w:t>: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носа не изменена, дыхание свободное. Гортань не деформирована. Голос звучный. Грудная клетка эмфизематозная, ригидная, участвует в акте дыхания. Ключицы и лопатки выступают не сильно. Тип дыхания смешанный. Число дыханий в покое 20-22 в мин. </w:t>
      </w:r>
      <w:r>
        <w:rPr>
          <w:i/>
          <w:iCs/>
          <w:sz w:val="28"/>
          <w:szCs w:val="28"/>
        </w:rPr>
        <w:t>Пальпация:</w:t>
      </w:r>
      <w:r w:rsidR="00337EE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болезненных участков при пальпации не выявлено. Голосовое дрожание легких проводится хорошо. </w:t>
      </w:r>
      <w:r>
        <w:rPr>
          <w:i/>
          <w:iCs/>
          <w:sz w:val="28"/>
          <w:szCs w:val="28"/>
        </w:rPr>
        <w:t xml:space="preserve">Сравнительная перкуссия: </w:t>
      </w:r>
      <w:r>
        <w:rPr>
          <w:sz w:val="28"/>
          <w:szCs w:val="28"/>
        </w:rPr>
        <w:t>легких – коробочный звук. Сравнительная перкуссия:</w:t>
      </w:r>
    </w:p>
    <w:p w:rsidR="00D213F7" w:rsidRDefault="00D213F7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46"/>
        <w:gridCol w:w="2231"/>
        <w:gridCol w:w="2370"/>
      </w:tblGrid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верхняя граница: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верхушек спереди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3см.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3см.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верхушек сзади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en-US"/>
              </w:rPr>
              <w:sym w:font="Webdings" w:char="F03B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шейный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en-US"/>
              </w:rPr>
              <w:sym w:font="Webdings" w:char="F03B"/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шейный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нижняя граница легких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окологрудинной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переднеподмышечной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среднеподмышечной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заднеподмышечной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околопозвоночной</w:t>
            </w:r>
            <w:r w:rsidR="00337E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дыхательная экскурсия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2,5см.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среднеподмышечной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2,5см.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2,5см.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2,5см.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3F7" w:rsidRDefault="00D213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2,5см.</w:t>
            </w:r>
          </w:p>
        </w:tc>
      </w:tr>
    </w:tbl>
    <w:p w:rsidR="00D213F7" w:rsidRDefault="00D213F7">
      <w:pPr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над всей поверхностью легких выслушивается ослабленное везикулярное дыхание, побочные дыхательные шумы не выслушиваются.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проводится одинаково.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Анализ мочи от 13.01.2000г.</w:t>
      </w:r>
      <w:r>
        <w:rPr>
          <w:sz w:val="28"/>
          <w:szCs w:val="28"/>
        </w:rPr>
        <w:t xml:space="preserve">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- светло-желтый,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прозрачность - не полная,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относительная плотность - 1014,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реакция - кислая,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белок, сахар - не обнаружен,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- 0-1 в поле зрения.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крови от 7. 03. 02.</w:t>
      </w:r>
    </w:p>
    <w:p w:rsidR="00D213F7" w:rsidRDefault="00D213F7" w:rsidP="00337EE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Лабораторные исследования:</w:t>
      </w:r>
      <w:r>
        <w:rPr>
          <w:sz w:val="28"/>
          <w:szCs w:val="28"/>
        </w:rPr>
        <w:t xml:space="preserve"> </w:t>
      </w:r>
    </w:p>
    <w:p w:rsidR="00D213F7" w:rsidRDefault="00D213F7" w:rsidP="00337EE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гемоглобин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153г\л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палочкоядерные</w:t>
            </w:r>
            <w:proofErr w:type="spellEnd"/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базофилы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лимфоциты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D213F7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4261" w:type="dxa"/>
          </w:tcPr>
          <w:p w:rsidR="00D213F7" w:rsidRDefault="00D2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8%мм/час</w:t>
            </w:r>
          </w:p>
        </w:tc>
      </w:tr>
    </w:tbl>
    <w:p w:rsidR="00D213F7" w:rsidRDefault="00D213F7">
      <w:pPr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рентгена грудной клетки: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Эмфизема легких. </w:t>
      </w:r>
      <w:proofErr w:type="spellStart"/>
      <w:r>
        <w:rPr>
          <w:sz w:val="28"/>
          <w:szCs w:val="28"/>
        </w:rPr>
        <w:t>Бронхо</w:t>
      </w:r>
      <w:proofErr w:type="spellEnd"/>
      <w:r>
        <w:rPr>
          <w:sz w:val="28"/>
          <w:szCs w:val="28"/>
        </w:rPr>
        <w:t xml:space="preserve">–эмфизема легких? Двухсторонний </w:t>
      </w:r>
      <w:proofErr w:type="spellStart"/>
      <w:r>
        <w:rPr>
          <w:sz w:val="28"/>
          <w:szCs w:val="28"/>
        </w:rPr>
        <w:t>слипчивый</w:t>
      </w:r>
      <w:proofErr w:type="spellEnd"/>
      <w:r>
        <w:rPr>
          <w:sz w:val="28"/>
          <w:szCs w:val="28"/>
        </w:rPr>
        <w:t xml:space="preserve"> плеврит.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функции внешнего дыхания: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ЧД –                                          19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 xml:space="preserve">ДО –                                          1160                </w:t>
      </w:r>
      <w:r>
        <w:rPr>
          <w:sz w:val="28"/>
          <w:szCs w:val="28"/>
          <w:lang w:val="en-US"/>
        </w:rPr>
        <w:t>N</w:t>
      </w:r>
      <w:r w:rsidRPr="00D213F7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N</w:t>
      </w:r>
      <w:r w:rsidRPr="00D213F7">
        <w:rPr>
          <w:sz w:val="28"/>
          <w:szCs w:val="28"/>
        </w:rPr>
        <w:t>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 xml:space="preserve">РО </w:t>
      </w:r>
      <w:proofErr w:type="spellStart"/>
      <w:r>
        <w:rPr>
          <w:sz w:val="28"/>
          <w:szCs w:val="28"/>
        </w:rPr>
        <w:t>выд</w:t>
      </w:r>
      <w:proofErr w:type="spellEnd"/>
      <w:r>
        <w:rPr>
          <w:sz w:val="28"/>
          <w:szCs w:val="28"/>
        </w:rPr>
        <w:t>. –                                  900              (1110)         81%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 xml:space="preserve">Емк. </w:t>
      </w:r>
      <w:proofErr w:type="spellStart"/>
      <w:r>
        <w:rPr>
          <w:sz w:val="28"/>
          <w:szCs w:val="28"/>
        </w:rPr>
        <w:t>Выд</w:t>
      </w:r>
      <w:proofErr w:type="spellEnd"/>
      <w:r>
        <w:rPr>
          <w:sz w:val="28"/>
          <w:szCs w:val="28"/>
        </w:rPr>
        <w:t>.-                                1940            (2880)         67%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МОД –                                       22,7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МВЛ –                                       48,1             (129)           37%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ЖЕЛ –                                       3250             (3880)         84%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Мощность выдоха –                 3,91              (7,89)         50%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Объемная скорость  25%–       0,451           (1,51)         30%</w:t>
      </w:r>
    </w:p>
    <w:p w:rsidR="00D213F7" w:rsidRDefault="00D213F7">
      <w:pPr>
        <w:rPr>
          <w:sz w:val="28"/>
          <w:szCs w:val="28"/>
        </w:rPr>
      </w:pPr>
      <w:r>
        <w:rPr>
          <w:sz w:val="28"/>
          <w:szCs w:val="28"/>
        </w:rPr>
        <w:t>Объемная скорость 50% -        1,05             (4,17)         25%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значительная обструкция мелких и средних бронхов, положительная проба с </w:t>
      </w:r>
      <w:proofErr w:type="spellStart"/>
      <w:r>
        <w:rPr>
          <w:sz w:val="28"/>
          <w:szCs w:val="28"/>
        </w:rPr>
        <w:t>бронхолитиками</w:t>
      </w:r>
      <w:proofErr w:type="spellEnd"/>
      <w:r>
        <w:rPr>
          <w:sz w:val="28"/>
          <w:szCs w:val="28"/>
        </w:rPr>
        <w:t>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мокроты: выделены стрептококки и </w:t>
      </w:r>
      <w:proofErr w:type="spellStart"/>
      <w:r>
        <w:rPr>
          <w:sz w:val="28"/>
          <w:szCs w:val="28"/>
        </w:rPr>
        <w:t>кандиды</w:t>
      </w:r>
      <w:proofErr w:type="spellEnd"/>
      <w:r>
        <w:rPr>
          <w:sz w:val="28"/>
          <w:szCs w:val="28"/>
        </w:rPr>
        <w:t xml:space="preserve"> чувствительные к </w:t>
      </w:r>
      <w:proofErr w:type="spellStart"/>
      <w:r>
        <w:rPr>
          <w:sz w:val="28"/>
          <w:szCs w:val="28"/>
        </w:rPr>
        <w:t>ампицилину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канамицину</w:t>
      </w:r>
      <w:proofErr w:type="spellEnd"/>
      <w:r>
        <w:rPr>
          <w:sz w:val="28"/>
          <w:szCs w:val="28"/>
        </w:rPr>
        <w:t>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Тесты:</w:t>
      </w:r>
    </w:p>
    <w:p w:rsidR="00D213F7" w:rsidRDefault="00D213F7" w:rsidP="00337EEB">
      <w:pPr>
        <w:pStyle w:val="1"/>
        <w:ind w:firstLine="709"/>
        <w:jc w:val="both"/>
      </w:pPr>
      <w:r>
        <w:t>1. ТТЕЭМ (тест торможения естественной эмиграции лейкоцитов ) с 0,0001% формальдегидом – положительная по типу угнетения.</w:t>
      </w:r>
    </w:p>
    <w:p w:rsidR="00D213F7" w:rsidRDefault="00D213F7" w:rsidP="00337EE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Ингаляционная проба с канифолью – положительная по немедленному типу.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Бронхиальная астма поставлена на основании жалоб на инспираторную одышку, приступы удушья купирующиеся </w:t>
      </w:r>
      <w:proofErr w:type="spellStart"/>
      <w:r>
        <w:rPr>
          <w:sz w:val="28"/>
          <w:szCs w:val="28"/>
        </w:rPr>
        <w:t>биротеком</w:t>
      </w:r>
      <w:proofErr w:type="spellEnd"/>
      <w:r>
        <w:rPr>
          <w:sz w:val="28"/>
          <w:szCs w:val="28"/>
        </w:rPr>
        <w:t xml:space="preserve">, анамнеза- заболевания с 1980 года, приступы 4-5 раз в год, объективного осмотра- эмфизематозная </w:t>
      </w:r>
      <w:r>
        <w:rPr>
          <w:sz w:val="28"/>
          <w:szCs w:val="28"/>
        </w:rPr>
        <w:lastRenderedPageBreak/>
        <w:t xml:space="preserve">грудная клетка, ослабленное везикулярное дыхание, уменьшенная экскурсия грудной клетки, на основании лабораторных данных- функция внешнего дыхания – обструкция средних и мелких бронхов, положительная проба с </w:t>
      </w:r>
      <w:proofErr w:type="spellStart"/>
      <w:r>
        <w:rPr>
          <w:sz w:val="28"/>
          <w:szCs w:val="28"/>
        </w:rPr>
        <w:t>бронхолитиками</w:t>
      </w:r>
      <w:proofErr w:type="spellEnd"/>
      <w:r>
        <w:rPr>
          <w:sz w:val="28"/>
          <w:szCs w:val="28"/>
        </w:rPr>
        <w:t xml:space="preserve">.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 позволяют расценить у больного бронхиальную астму как следствие воздействия производственных факторов (формальдегид, канифоль).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утяжеляется перенесенной пневмонией, следствием которой явилась развитие </w:t>
      </w:r>
      <w:proofErr w:type="spellStart"/>
      <w:r>
        <w:rPr>
          <w:sz w:val="28"/>
          <w:szCs w:val="28"/>
        </w:rPr>
        <w:t>бронхоэктазов</w:t>
      </w:r>
      <w:proofErr w:type="spellEnd"/>
      <w:r>
        <w:rPr>
          <w:sz w:val="28"/>
          <w:szCs w:val="28"/>
        </w:rPr>
        <w:t xml:space="preserve">, пневмосклероза, </w:t>
      </w:r>
      <w:proofErr w:type="spellStart"/>
      <w:r>
        <w:rPr>
          <w:sz w:val="28"/>
          <w:szCs w:val="28"/>
        </w:rPr>
        <w:t>слипчевого</w:t>
      </w:r>
      <w:proofErr w:type="spellEnd"/>
      <w:r>
        <w:rPr>
          <w:sz w:val="28"/>
          <w:szCs w:val="28"/>
        </w:rPr>
        <w:t xml:space="preserve"> плеврита. Учитывая длительный стаж работы в контакте с веществами раздражающего и сенсибилизирующего типа, данных мед. Документации</w:t>
      </w:r>
      <w:r w:rsidR="0006759F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результатов проведенного обследования ( положительной пробы ТТЕЭМ, проба с канифолью) бронхиальную астму следует считать профессиональной.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диагноз:</w:t>
      </w:r>
    </w:p>
    <w:p w:rsidR="00D213F7" w:rsidRDefault="00D213F7" w:rsidP="00337EEB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 черты профессиональной бронхиальной астмы: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759F">
        <w:rPr>
          <w:sz w:val="28"/>
          <w:szCs w:val="28"/>
        </w:rPr>
        <w:t>) р</w:t>
      </w:r>
      <w:r>
        <w:rPr>
          <w:sz w:val="28"/>
          <w:szCs w:val="28"/>
        </w:rPr>
        <w:t>азвивается у работников имеющих контакт с профессиональными аллергенами; б</w:t>
      </w:r>
      <w:r w:rsidR="0006759F">
        <w:rPr>
          <w:sz w:val="28"/>
          <w:szCs w:val="28"/>
        </w:rPr>
        <w:t>) б</w:t>
      </w:r>
      <w:r>
        <w:rPr>
          <w:sz w:val="28"/>
          <w:szCs w:val="28"/>
        </w:rPr>
        <w:t>ыстрое развитие (работник может точно указать время появления приступа)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759F">
        <w:rPr>
          <w:sz w:val="28"/>
          <w:szCs w:val="28"/>
        </w:rPr>
        <w:t>) р</w:t>
      </w:r>
      <w:r>
        <w:rPr>
          <w:sz w:val="28"/>
          <w:szCs w:val="28"/>
        </w:rPr>
        <w:t>азвитие астмы проходит без предварительного фонового заболевания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>отягощенный аллергический анамнез не важен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 больных средний и пожилой (длительный контакт с аллергеном)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выраженный симптом элиминации.</w:t>
      </w:r>
    </w:p>
    <w:p w:rsidR="00D213F7" w:rsidRDefault="00D213F7" w:rsidP="00337EEB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 черты не профессиональной бронхиальной астмы: 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развивается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>при контакте с</w:t>
      </w:r>
      <w:r w:rsidR="00337EEB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профессиональными аллергенами (пыльца растений, домашняя пыль, пищевые продукты и т.д.);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обострение в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 период.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>аллергический анамнез и наследственность отягощены,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 пациентов разный, часто дебют в молодом возрасте</w:t>
      </w:r>
    </w:p>
    <w:p w:rsidR="00D213F7" w:rsidRDefault="00D213F7" w:rsidP="00337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6759F">
        <w:rPr>
          <w:sz w:val="28"/>
          <w:szCs w:val="28"/>
        </w:rPr>
        <w:t xml:space="preserve"> </w:t>
      </w:r>
      <w:r>
        <w:rPr>
          <w:sz w:val="28"/>
          <w:szCs w:val="28"/>
        </w:rPr>
        <w:t>симптом элиминации четко не выражен.</w:t>
      </w:r>
    </w:p>
    <w:sectPr w:rsidR="00D213F7" w:rsidSect="00337EEB">
      <w:pgSz w:w="11906" w:h="16838" w:code="9"/>
      <w:pgMar w:top="851" w:right="851" w:bottom="91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F55E4"/>
    <w:multiLevelType w:val="singleLevel"/>
    <w:tmpl w:val="346C9D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83B6D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891039"/>
    <w:multiLevelType w:val="singleLevel"/>
    <w:tmpl w:val="2BF479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7685FC2"/>
    <w:multiLevelType w:val="singleLevel"/>
    <w:tmpl w:val="B26A0F7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5">
    <w:nsid w:val="607C40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870F7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5452EA"/>
    <w:multiLevelType w:val="singleLevel"/>
    <w:tmpl w:val="346C9DD2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F7"/>
    <w:rsid w:val="0006759F"/>
    <w:rsid w:val="001E7A55"/>
    <w:rsid w:val="00337EEB"/>
    <w:rsid w:val="003867EA"/>
    <w:rsid w:val="00691CB2"/>
    <w:rsid w:val="0086231C"/>
    <w:rsid w:val="00C71190"/>
    <w:rsid w:val="00D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ind w:left="360"/>
      <w:jc w:val="both"/>
    </w:pPr>
    <w:rPr>
      <w:sz w:val="28"/>
      <w:szCs w:val="28"/>
    </w:rPr>
  </w:style>
  <w:style w:type="paragraph" w:styleId="a3">
    <w:name w:val="Body Text"/>
    <w:basedOn w:val="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ind w:left="360"/>
      <w:jc w:val="both"/>
    </w:pPr>
    <w:rPr>
      <w:sz w:val="28"/>
      <w:szCs w:val="28"/>
    </w:rPr>
  </w:style>
  <w:style w:type="paragraph" w:styleId="a3">
    <w:name w:val="Body Text"/>
    <w:basedOn w:val="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Медико – Стоматологический  Университет им</vt:lpstr>
    </vt:vector>
  </TitlesOfParts>
  <Company>Дом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Медико – Стоматологический  Университет им</dc:title>
  <dc:creator>Марина</dc:creator>
  <cp:lastModifiedBy>Igor</cp:lastModifiedBy>
  <cp:revision>2</cp:revision>
  <cp:lastPrinted>1996-12-31T23:42:00Z</cp:lastPrinted>
  <dcterms:created xsi:type="dcterms:W3CDTF">2024-05-15T18:35:00Z</dcterms:created>
  <dcterms:modified xsi:type="dcterms:W3CDTF">2024-05-15T18:35:00Z</dcterms:modified>
</cp:coreProperties>
</file>