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F13CD">
      <w:pPr>
        <w:pStyle w:val="Heading1"/>
        <w:spacing w:line="360" w:lineRule="auto"/>
        <w:ind w:firstLine="709"/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000000" w:rsidRDefault="00CF13CD">
      <w:pPr>
        <w:pStyle w:val="Heading1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CF13CD">
      <w:pPr>
        <w:pStyle w:val="Heading1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CF13CD">
      <w:pPr>
        <w:pStyle w:val="Heading1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CF13CD">
      <w:pPr>
        <w:pStyle w:val="Heading1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CF13CD">
      <w:pPr>
        <w:pStyle w:val="Heading1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CF13CD">
      <w:pPr>
        <w:pStyle w:val="Heading1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CF13CD">
      <w:pPr>
        <w:pStyle w:val="Heading1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CF13CD">
      <w:pPr>
        <w:pStyle w:val="Heading1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CF13CD">
      <w:pPr>
        <w:pStyle w:val="Heading1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CF13CD">
      <w:pPr>
        <w:pStyle w:val="Heading1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CF13CD">
      <w:pPr>
        <w:pStyle w:val="Heading1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CF13CD">
      <w:pPr>
        <w:pStyle w:val="Heading1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CF13CD">
      <w:pPr>
        <w:pStyle w:val="Heading1"/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Противотуберкулезные и другие средства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CF13CD">
      <w:pPr>
        <w:pStyle w:val="Heading2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>
        <w:rPr>
          <w:sz w:val="28"/>
          <w:szCs w:val="28"/>
          <w:lang w:val="en-US"/>
        </w:rPr>
        <w:lastRenderedPageBreak/>
        <w:t>Противотуберкулезные средства</w:t>
      </w:r>
    </w:p>
    <w:p w:rsidR="00000000" w:rsidRDefault="00CF13CD">
      <w:pPr>
        <w:pStyle w:val="Heading3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CF13CD">
      <w:pPr>
        <w:pStyle w:val="Heading3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Туберкулез - хроническое инфекционное заболевание, возбудителем которого является микобактерия туберкулеза, открытая Р.Кохом в 1882 году. Туберкулезные микобактерии проник</w:t>
      </w:r>
      <w:r>
        <w:rPr>
          <w:sz w:val="28"/>
          <w:szCs w:val="28"/>
          <w:lang w:val="en-US"/>
        </w:rPr>
        <w:t>ают в организм через дыхательные пути, реже через пищеварительный тракт.</w:t>
      </w:r>
    </w:p>
    <w:p w:rsidR="00000000" w:rsidRDefault="00CF13CD">
      <w:pPr>
        <w:pStyle w:val="Heading1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Заражение происходит большей частью в детском и подростковом возрасте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 туберкулезе легких часто воспаляются лимфатические узлы в области корня легких (лимфаденит). Некроз легочной </w:t>
      </w:r>
      <w:r>
        <w:rPr>
          <w:sz w:val="28"/>
          <w:szCs w:val="28"/>
          <w:lang w:val="en-US"/>
        </w:rPr>
        <w:t>ткани в туберкулезных очагах приводит к образованию полостей (каверн), заполненных гноем, легочным кровотечениям, повышению температуры, сильному кашлю, истощению организма и смерти.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При внелегочных формах туберкулеза часто поражаются кости (позвонки, суст</w:t>
      </w:r>
      <w:r>
        <w:rPr>
          <w:sz w:val="28"/>
          <w:szCs w:val="28"/>
          <w:lang w:val="en-US"/>
        </w:rPr>
        <w:t>авы), почки, слизистая оболочка кишечника, кожа и др. Особенно тяжело протекает туберкулезное поражение оболочек мозга (туберкулезный менингит).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В качестве противотуберкулезных средств в настоящее время используются некоторые антибиотики и вещества синтети</w:t>
      </w:r>
      <w:r>
        <w:rPr>
          <w:sz w:val="28"/>
          <w:szCs w:val="28"/>
          <w:lang w:val="en-US"/>
        </w:rPr>
        <w:t>ческого происхождения.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Все противотуберкулезные средства делят на две группы препараты первого и второго ряда.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Препараты первого ряда. К ним относятся стрептомицин, гидразид изоникотиновой кислоты (изониазид) и его производные (фтивазид, салюзид и др.) ПАС</w:t>
      </w:r>
      <w:r>
        <w:rPr>
          <w:sz w:val="28"/>
          <w:szCs w:val="28"/>
          <w:lang w:val="en-US"/>
        </w:rPr>
        <w:t>К, рифампицин. Эти препараты являются основными в лечении туберкулеза. В случаях, когда средства первого ряда неэффективны (образование резистентных штаммов туберкулезных микобактерий), назначают препараты второго ряда.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Препараты второго ряда. К ним относя</w:t>
      </w:r>
      <w:r>
        <w:rPr>
          <w:sz w:val="28"/>
          <w:szCs w:val="28"/>
          <w:lang w:val="en-US"/>
        </w:rPr>
        <w:t>тся циклосерин, канамицин, этионамид, этамбутол и др. Эти препараты в сравнении с препаратами первого ряда являются более токсичными для организма и применяются в качестве резервных средств лечения туберкулеза.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В последнее время предложена новая классифика</w:t>
      </w:r>
      <w:r>
        <w:rPr>
          <w:sz w:val="28"/>
          <w:szCs w:val="28"/>
          <w:lang w:val="en-US"/>
        </w:rPr>
        <w:t>ция противотуберкулезных средств.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Первая группа - наиболее эффективные препараты: рифампицин, изониазид.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Вторая группа - препараты средней эффективности: стрептомицин, этионамид, пиразинамид, канамицин, циклосерин, флоримицин.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Третья группа - препараты с у</w:t>
      </w:r>
      <w:r>
        <w:rPr>
          <w:sz w:val="28"/>
          <w:szCs w:val="28"/>
          <w:lang w:val="en-US"/>
        </w:rPr>
        <w:t>меренной эффективностью: ПАСК, тиацетазон.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Стрептомицин отличается от других антибиотиков высокой активностью в отношении возбудителя туберкулеза. Его широко используют в комбинации с другими препаратами (фтивазид, ПАСК) при всех формах туберкулеза. Однако</w:t>
      </w:r>
      <w:r>
        <w:rPr>
          <w:sz w:val="28"/>
          <w:szCs w:val="28"/>
          <w:lang w:val="en-US"/>
        </w:rPr>
        <w:t xml:space="preserve"> к стрептомицину нередко возникает устойчивость микобактерий, и тогда лечебный эффект препарата ослабевает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Рифампицин является весьма эффективным противотуберкулезным антибиотиком при всех формах заболевания. Он активен в отношении микобактерий, устойчивых</w:t>
      </w:r>
      <w:r>
        <w:rPr>
          <w:sz w:val="28"/>
          <w:szCs w:val="28"/>
          <w:lang w:val="en-US"/>
        </w:rPr>
        <w:t xml:space="preserve"> к изониазиду, стрептомицину и ПАСК, Назначают рифампицин внутрь по 0,3 г 2 раза в день до еды. Противопоказан при заболеваниях печени и в первые 3 месяца беременности.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Циклосерин обладает широким спектром антибактериального действия. Наиболее ценным свойс</w:t>
      </w:r>
      <w:r>
        <w:rPr>
          <w:sz w:val="28"/>
          <w:szCs w:val="28"/>
          <w:lang w:val="en-US"/>
        </w:rPr>
        <w:t xml:space="preserve">твом является его способность задерживать рост микобактерий туберкулеза. Циклосерин рассматривается как «резервный» противотуберкулезный препарат (препараты второго ряда). Назначают внутрь по 0,25 г 3 раза в день. Возможны побочные явления: головная боль, </w:t>
      </w:r>
      <w:r>
        <w:rPr>
          <w:sz w:val="28"/>
          <w:szCs w:val="28"/>
          <w:lang w:val="en-US"/>
        </w:rPr>
        <w:t>бессонница (иногда сонливость), психические расстройства. Противопоказан при органических заболеваниях ЦНС, психических расстройствах.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Флоримицина сульфат оказывает специфическое бактериостатическое действие на микобактерии туберкулеза, является резервным </w:t>
      </w:r>
      <w:r>
        <w:rPr>
          <w:sz w:val="28"/>
          <w:szCs w:val="28"/>
          <w:lang w:val="en-US"/>
        </w:rPr>
        <w:t>препаратом при лечении различных форм и локализаций туберкулеза. Применяют внутримышечно (в кишечнике не всасывается). Побочные явления: нарушения слуха (ототоксическое действие), головные боли, аллергические реакции. Противопоказан при нарушениях слуха, ф</w:t>
      </w:r>
      <w:r>
        <w:rPr>
          <w:sz w:val="28"/>
          <w:szCs w:val="28"/>
          <w:lang w:val="en-US"/>
        </w:rPr>
        <w:t>ункции почек. Нельзя комбинировать со стрептомицином (усиливается ототоксическое действие).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Парааминосалициловая кислота (ПАСК) используется в виде натриевой соли. Оказывает действие только на микобактерии туберкулеза. Механизм бактериостатического действи</w:t>
      </w:r>
      <w:r>
        <w:rPr>
          <w:sz w:val="28"/>
          <w:szCs w:val="28"/>
          <w:lang w:val="en-US"/>
        </w:rPr>
        <w:t>я ПАСК объясняется ее конкурентными отношениями с парааминобензойной кислотой и, следовательно, нарушением синтеза фолиевой кислоты, необходимой для нормального роста микобактерий туберкулеза. Однако для отчетливого бактериостатического действия необходимы</w:t>
      </w:r>
      <w:r>
        <w:rPr>
          <w:sz w:val="28"/>
          <w:szCs w:val="28"/>
          <w:lang w:val="en-US"/>
        </w:rPr>
        <w:t xml:space="preserve"> высокие концентрации препарата в крови, превышающие терапевтические дозы. Поэтому ПАСК всегда применяют в комбинации с другими противотуберкулезными средствами: стрептомицином, фтивазидом и др.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ПАСК хорошо всасывается из желудочно-кишечного тракта и в орг</w:t>
      </w:r>
      <w:r>
        <w:rPr>
          <w:sz w:val="28"/>
          <w:szCs w:val="28"/>
          <w:lang w:val="en-US"/>
        </w:rPr>
        <w:t>анизме довольно быстро ин активируется. Поэтому назначают довольно большие дозы препарата (до 10 г в сутки). Иногда прибегают к внутривенному введению (капельно) 3% раствора ПАСК. Среди побочных явлений чаще всего наблюдаются нарушение аппетита, тошнота, р</w:t>
      </w:r>
      <w:r>
        <w:rPr>
          <w:sz w:val="28"/>
          <w:szCs w:val="28"/>
          <w:lang w:val="en-US"/>
        </w:rPr>
        <w:t>вота, боли в животе и другие диспепсические расстройства. Иногда возникают аллергические реакции различной тяжести, вплоть до развития анафилактического шока.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Гидразидизоникотиновой кислоты (изониазд) и ее производные (фтивазид, салюзид и др.) обладают выс</w:t>
      </w:r>
      <w:r>
        <w:rPr>
          <w:sz w:val="28"/>
          <w:szCs w:val="28"/>
          <w:lang w:val="en-US"/>
        </w:rPr>
        <w:t>окой противотуберкулезной активностью. Они хорошо всасываются в желудочно-кишечном тракте и легко проникают во все ткани организма. Их назначают при всех формах туберкулеза, обычно в сочетании с другими препаратами.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Вещества данной группы подавляют различн</w:t>
      </w:r>
      <w:r>
        <w:rPr>
          <w:sz w:val="28"/>
          <w:szCs w:val="28"/>
          <w:lang w:val="en-US"/>
        </w:rPr>
        <w:t>ые ферментные системы микобактерий туберкулеза, разрушают нуклеиновые кислоты, и, прежде всего, ДНК.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Изониазид при длительном применении может вызывать бессонницу, головную боль, эйфорию и другие явления, связанные с возбуждением центральной нервной систем</w:t>
      </w:r>
      <w:r>
        <w:rPr>
          <w:sz w:val="28"/>
          <w:szCs w:val="28"/>
          <w:lang w:val="en-US"/>
        </w:rPr>
        <w:t>ы. Кроме того, нередко наблюдаются диспепсические расстройства и аллергические реакции. Для предупреждения нервных расстройств необходимо назначать витамины В.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Препараты второго ряда, как правило, менее активны и более токсичны, чем препараты первого ряда.</w:t>
      </w:r>
      <w:r>
        <w:rPr>
          <w:sz w:val="28"/>
          <w:szCs w:val="28"/>
          <w:lang w:val="en-US"/>
        </w:rPr>
        <w:t xml:space="preserve"> Помимо резервных антибиотиков (циклосерин, флоримицин, канамицин), в эту группу входят синтетические вещества: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 и р а з и н а м и д, э т и о н а м и д, э т а м б у т о л и др. К этим препаратам также может возникнуть резистентность, поэтому их комбинирую</w:t>
      </w:r>
      <w:r>
        <w:rPr>
          <w:sz w:val="28"/>
          <w:szCs w:val="28"/>
          <w:lang w:val="en-US"/>
        </w:rPr>
        <w:t>т между собой и с препаратами первого ряда. При назначении препаратов второго ряда чаще возникают побочные явления в виде диспепсических расстройств, нарушений функции печени, нервной системы, аллергических реакций.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Препараты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Рифампицин (Rifampicinum)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Сино</w:t>
      </w:r>
      <w:r>
        <w:rPr>
          <w:sz w:val="28"/>
          <w:szCs w:val="28"/>
          <w:lang w:val="en-US"/>
        </w:rPr>
        <w:t>нин: бенемицин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Применяют внутрь (за 30 мин. До еды) по 0,45 г в день.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Формы выпуска: капсулы по 0,05 и 0,15 г.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Хранение: список Б; в сухом, защищенном от света месте.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Стрептомицина сульфат (Streptomycini sulfas)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Применяют в/м по 0,5 г 1-2 раза в сут.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Форма</w:t>
      </w:r>
      <w:r>
        <w:rPr>
          <w:sz w:val="28"/>
          <w:szCs w:val="28"/>
          <w:lang w:val="en-US"/>
        </w:rPr>
        <w:t xml:space="preserve"> выпуска: флаконы по 0,25; 0,5; 1г.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Натрия парааминосалицилат (Natrii para - aminosalicylas)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Назначают внутрь по 3 - 4 г 3 раза в день после еды, внутривенно вводят 3% раствор 250-500 мл (капельно).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Формы выпуска: порошок, таблетки по 0,5 г; 3% раствор по</w:t>
      </w:r>
      <w:r>
        <w:rPr>
          <w:sz w:val="28"/>
          <w:szCs w:val="28"/>
          <w:lang w:val="en-US"/>
        </w:rPr>
        <w:t xml:space="preserve"> 250-5-мл во флаконах.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Хранение: в хорошо укупоренной таре в защищенном от света месте.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Циклосерин (Cycloserinum)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Назначают внутрь по 0,25 г 3 раза в день.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Формы выпуска: таблетки, капсулы по 0,25 г.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Хранение: список Б; в сухом, защищенном от света месте.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Изониазид (Isoniazidum)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Назначают внутрь по 0,3 г 2 раза в день.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Высшие дозы внутрь: разовая - 0,6 г, суточная - 0,9 г.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Формы выпуска: порошок и таблетки по 0,1; 0,2 и 0,3 г.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Фтивазид (Phthivazidum)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Назначают внутрь по 0,5 г 2-3 раза в день.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Высшие дозы вн</w:t>
      </w:r>
      <w:r>
        <w:rPr>
          <w:sz w:val="28"/>
          <w:szCs w:val="28"/>
          <w:lang w:val="en-US"/>
        </w:rPr>
        <w:t>утрь - 1г, суточная - 2 г.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Формы выпуска: порошок и таблетки по 0,1: 0,3 и 0,5 г.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Хранение: список Б; в защишенном от света месте.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Примеры рецептов.: Natrii para - aminosalicylatis 1,0.t.d. N 50. Принимать по 3 порошка 3 раза в день через час после еды..: </w:t>
      </w:r>
      <w:r>
        <w:rPr>
          <w:sz w:val="28"/>
          <w:szCs w:val="28"/>
          <w:lang w:val="en-US"/>
        </w:rPr>
        <w:t>Tab. Phthivazidi 0,5 N 30.S. Принимать по 1 таблетке 3 раза в день.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Противоспирохетозные средства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К числу инфекций, вызванных спирохетами, относятся сифилис, возвратный тиф и другие. Среди них чаще встречается сифилис.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Сифилис (люэс) - венерическая болезнь</w:t>
      </w:r>
      <w:r>
        <w:rPr>
          <w:sz w:val="28"/>
          <w:szCs w:val="28"/>
          <w:lang w:val="en-US"/>
        </w:rPr>
        <w:t xml:space="preserve"> с хроническим течением, возбудителем который является бледная спирохета. Сифилисом можно заразиться при тесном контакте с больным (при поцелуе, половом сношении) и через предметы (стаканы, ложки, зубные щетки и т.д.), загрязненными спирохетами.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Человек, з</w:t>
      </w:r>
      <w:r>
        <w:rPr>
          <w:sz w:val="28"/>
          <w:szCs w:val="28"/>
          <w:lang w:val="en-US"/>
        </w:rPr>
        <w:t>аразившийся сифилисом, вначале чувствует себя совершенно здоровым, и только через три недели скрытого (инкубационного) периода на месте внедрения бледных спирохет появляются безболезненная язвочка с плотным основанием (твердый шанкр). С появлением твердого</w:t>
      </w:r>
      <w:r>
        <w:rPr>
          <w:sz w:val="28"/>
          <w:szCs w:val="28"/>
          <w:lang w:val="en-US"/>
        </w:rPr>
        <w:t xml:space="preserve"> шанкра начинается первичный период сифилиса. В это время увеличиваются лимфатические узлы, особенно вблизи твердого шанкра. При половом заражении увеличиваются паховые лимфатические узлы. Первичный период сифилиса продолжается в среднем 45 дней и заканчив</w:t>
      </w:r>
      <w:r>
        <w:rPr>
          <w:sz w:val="28"/>
          <w:szCs w:val="28"/>
          <w:lang w:val="en-US"/>
        </w:rPr>
        <w:t>ается появлением сыпи на коже и слизистых оболочках, которая свидетельствует о начале вторичного периода сифилиса. В дальнейшем эта сыпь может самостоятельно (без лечения) исчезать и вновь появляться. Вторичный период сифилиса может продолжаться 2-3 года и</w:t>
      </w:r>
      <w:r>
        <w:rPr>
          <w:sz w:val="28"/>
          <w:szCs w:val="28"/>
          <w:lang w:val="en-US"/>
        </w:rPr>
        <w:t xml:space="preserve"> более. Больной во вторичном периоде сифилиса является чрезвычайно опасным для окружающих.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В третичном периоде сифилиса происходит разрушение тканей многих органов: костей (особенно заметна деформация носа), сосудов, внутренних органов и т.п. В результате </w:t>
      </w:r>
      <w:r>
        <w:rPr>
          <w:sz w:val="28"/>
          <w:szCs w:val="28"/>
          <w:lang w:val="en-US"/>
        </w:rPr>
        <w:t>поражения головного и спинного мозга нарушается психика, возникают параличи. Поражение сифилисом нервной системы трудно поддается лечению. Сифилис может передаваться потомству от больной матери (врожденный сифилис).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В настоящее время для лечения сифилиса и</w:t>
      </w:r>
      <w:r>
        <w:rPr>
          <w:sz w:val="28"/>
          <w:szCs w:val="28"/>
          <w:lang w:val="en-US"/>
        </w:rPr>
        <w:t>меются эффективные средства, правильное использование которых дает полное излечение.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Основное значение в современной терапии сифилиса имеют препараты пенициллина (бензилпенициллина натриевая соль, бициллины), макролиды, цефалоспорины и др. препараты бензил</w:t>
      </w:r>
      <w:r>
        <w:rPr>
          <w:sz w:val="28"/>
          <w:szCs w:val="28"/>
          <w:lang w:val="en-US"/>
        </w:rPr>
        <w:t>пенициллина эффективны при всех стадиях сифилиса. Остальные антибиотики назначают при непереносимости бензилпенициллина, но они менее эффективны.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Кроме пенициллина используются также препараты висмута, которые блокируют сульфгидрильные группы в ферментных </w:t>
      </w:r>
      <w:r>
        <w:rPr>
          <w:sz w:val="28"/>
          <w:szCs w:val="28"/>
          <w:lang w:val="en-US"/>
        </w:rPr>
        <w:t>системах спирохет и вызывают их гибель.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Препараты висмута (бийохинол и бисмоверол) представляют собой взвеси органических соединений висмута в персиковом масле. Вводят их только внутримышечно в комбинации с препаратами пенициллина. Особенно эффективны преп</w:t>
      </w:r>
      <w:r>
        <w:rPr>
          <w:sz w:val="28"/>
          <w:szCs w:val="28"/>
          <w:lang w:val="en-US"/>
        </w:rPr>
        <w:t>араты висмута при нейросифилисе. Наиболее частыми осложнениями при лечении препаратами висмута являются общая слабость, лихорадка, появление темной каймы на деснах и слизистых оболочках шеи, нарушение функции почек, лейкопения и другие явления, свидетельст</w:t>
      </w:r>
      <w:r>
        <w:rPr>
          <w:sz w:val="28"/>
          <w:szCs w:val="28"/>
          <w:lang w:val="en-US"/>
        </w:rPr>
        <w:t>вующие о хронической интоксикации висмутом.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Для уменьшения интоксикации в качестве антидота назначают унитол.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Препараты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Бийохинол (Biiochinolum)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Вводят только внутримышечно по 2 мл 1 раз в 3 дня.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Перед употреблением препарат подогревают до 40 град. С и тща</w:t>
      </w:r>
      <w:r>
        <w:rPr>
          <w:sz w:val="28"/>
          <w:szCs w:val="28"/>
          <w:lang w:val="en-US"/>
        </w:rPr>
        <w:t>тельно взбалтывают.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Высшая доза: 3 мл 1 раз в 3 дня.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Формы выпуска: во флаконах оранжевого стекла по 100 мл.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Хранение: список Б; в защищенном отсвета месте.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Бисмоверол (Bismoverolum)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Вводят только внутримышечно по 1 мл 1 раз в 2 дня.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Высшая доза: 1 мл 1 ра</w:t>
      </w:r>
      <w:r>
        <w:rPr>
          <w:sz w:val="28"/>
          <w:szCs w:val="28"/>
          <w:lang w:val="en-US"/>
        </w:rPr>
        <w:t>з в 2 дня.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Формы выпуска: во флаконах по 100 мл.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Хранение: список Б; в защищенном от света месте.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Противопротозойные средства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Простейшие (Protozoa) представляют собой одноклеточные микроорганизмы с более сложной клеточной организацией, чем бактерии. Сред</w:t>
      </w:r>
      <w:r>
        <w:rPr>
          <w:sz w:val="28"/>
          <w:szCs w:val="28"/>
          <w:lang w:val="en-US"/>
        </w:rPr>
        <w:t>и простейших многие микроорганизмы являются возбудителями различных заболеваний человека, например малярии, лямблиоза, амебиаза и др.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Классификация противопротозойных средств</w:t>
      </w:r>
    </w:p>
    <w:p w:rsidR="00000000" w:rsidRDefault="00CF13CD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ab/>
        <w:t>Противомалярийные: хинин, хлоридин, хингамин, примахин, мефлохин, сульфанилами</w:t>
      </w:r>
      <w:r>
        <w:rPr>
          <w:sz w:val="28"/>
          <w:szCs w:val="28"/>
          <w:lang w:val="en-US"/>
        </w:rPr>
        <w:t>ды и сульфоны.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ab/>
        <w:t>Противоамебиазные: метронидазол, эмитин, хингамин, хиниофон, тетрациклины.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Противолямблиозные: метронидазол, фуразолидон, акрихин.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Противотрихомонадозные: метронидазол, тинидазол, трихомонацид, фуразолидон.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Противотоксоплазмозные: х</w:t>
      </w:r>
      <w:r>
        <w:rPr>
          <w:sz w:val="28"/>
          <w:szCs w:val="28"/>
          <w:lang w:val="en-US"/>
        </w:rPr>
        <w:t>лоридин, сульфадимезин.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Противолейшманиозные: солюсурмин, метронидазол.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Противомалярийные средства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Малярия - инфекционное заболевание, возбудителем которого является малярийный плазмодий. Известно четыре вида плазмодиев - возбудителей различных форм ма</w:t>
      </w:r>
      <w:r>
        <w:rPr>
          <w:sz w:val="28"/>
          <w:szCs w:val="28"/>
          <w:lang w:val="en-US"/>
        </w:rPr>
        <w:t>лярии человека: трехдневной малярии, четырехдневной, тропической и редкой формы малярии, встречающейся в Африке. Переносчиком малярии от больного здоровому человеку является самка малярийного комара вида анофелес.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Наиболее характерными признаками малярии я</w:t>
      </w:r>
      <w:r>
        <w:rPr>
          <w:sz w:val="28"/>
          <w:szCs w:val="28"/>
          <w:lang w:val="en-US"/>
        </w:rPr>
        <w:t xml:space="preserve">вляются приступы лихорадки, сопровождающиеся ознобом, головной болью, обильным потоотделением. В процессе развития болезни увеличиваются селезенка, печень, нарушается кроветворение (анемия, лейкопения). В тяжелых случаях заболевания развивается малярийная </w:t>
      </w:r>
      <w:r>
        <w:rPr>
          <w:sz w:val="28"/>
          <w:szCs w:val="28"/>
          <w:lang w:val="en-US"/>
        </w:rPr>
        <w:t>кома (потеря сознания, судороги), которая часто заканчивается смертью.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Для рационального использования противомалярийных средств необходимо учитывать некоторые особенности развития малярийного плазмодия. При укусе зараженного комара в кровь здорового челов</w:t>
      </w:r>
      <w:r>
        <w:rPr>
          <w:sz w:val="28"/>
          <w:szCs w:val="28"/>
          <w:lang w:val="en-US"/>
        </w:rPr>
        <w:t>ека попадают особые формы плазмодия - спорозоиты. Проникнув в клетки печени, спорозоиты размножаются и образуют молодые формы плазмодиев - тканевые мерозоиты (первичные). Большая часть тканевых мерозоитов проникают в кровь и внедряются в эритроциты. В эрит</w:t>
      </w:r>
      <w:r>
        <w:rPr>
          <w:sz w:val="28"/>
          <w:szCs w:val="28"/>
          <w:lang w:val="en-US"/>
        </w:rPr>
        <w:t>роцитах они интенсивно размножаются (эритроцитарные мерозоиты) и разрушают их, после чего мерозоиты внедряются в новые эритроциты и повторяют циклы развития эритроцитарных форм плазмодия. Мерозоиты из крови снова попадают в клетки печени и повторяют тканев</w:t>
      </w:r>
      <w:r>
        <w:rPr>
          <w:sz w:val="28"/>
          <w:szCs w:val="28"/>
          <w:lang w:val="en-US"/>
        </w:rPr>
        <w:t>ый цикл (вторичные мерозоиты).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В момент разрушения эритроцитов выделяются токсические пирогенные вещества, которые обусловливают приступы лихорадки. Часть эритроцитарных мерозоитов превращается в половые формы плазмодиев - гаметы. Таким образом, в организм</w:t>
      </w:r>
      <w:r>
        <w:rPr>
          <w:sz w:val="28"/>
          <w:szCs w:val="28"/>
          <w:lang w:val="en-US"/>
        </w:rPr>
        <w:t>е человека, больного малярией, имеют тканевые формы плазмодия, эритроцитарные и половые клетки - гаметы. При засасывании крови больного малярией гаметы попадают в желудок комара, где проходят половой цикл развития. В результате этого цикла образуется больш</w:t>
      </w:r>
      <w:r>
        <w:rPr>
          <w:sz w:val="28"/>
          <w:szCs w:val="28"/>
          <w:lang w:val="en-US"/>
        </w:rPr>
        <w:t>ое количество спорозоитов, которые являются источником заражения здоровых людей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Противомалярийные средства оказывают неодинаковое действие на различные стадии развития малярийного плазмодия, что необходимо учитывать при их применении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На эритроцитарные форм</w:t>
      </w:r>
      <w:r>
        <w:rPr>
          <w:sz w:val="28"/>
          <w:szCs w:val="28"/>
          <w:lang w:val="en-US"/>
        </w:rPr>
        <w:t>ы плазмодиев действуют хинин, хлоридин, бигумаль, хингамин и акрихин Применение этих препаратов прекращает приступы лихорадки, однако оставшиеся тканевые формы плазмодиев могут давать рецидивы заболевания. Поэтому для полного излечения назначают также хлор</w:t>
      </w:r>
      <w:r>
        <w:rPr>
          <w:sz w:val="28"/>
          <w:szCs w:val="28"/>
          <w:lang w:val="en-US"/>
        </w:rPr>
        <w:t>идин, оказывающий действие на тканевые формы плазмодиев и гаметы. При устойчивых формах малярии в комплекс лечения включают сульфаниламиды.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Для предотвращения распространения малярии (общественная профилактика) можно воспользоваться примахином и хлоридином</w:t>
      </w:r>
      <w:r>
        <w:rPr>
          <w:sz w:val="28"/>
          <w:szCs w:val="28"/>
          <w:lang w:val="en-US"/>
        </w:rPr>
        <w:t>, который оказывает губительное действие на половые формы плазмодиев - гаметы.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Первым противомалярийным препаратом был хинин - алкалоид коры хинного дерева, произрастающего в Южной Америке. Долгое время хинин являлся единственным средством лечения малярии.</w:t>
      </w:r>
      <w:r>
        <w:rPr>
          <w:sz w:val="28"/>
          <w:szCs w:val="28"/>
          <w:lang w:val="en-US"/>
        </w:rPr>
        <w:t xml:space="preserve"> Он оказывает губительное действие на эритроцитарные формы плазмодиев. На другие формы плазмодиев (гаметы, тканевые формы) хинин практически не влияет и, следовательно, не вызывает полного излечения и не предупреждает распространение заболевания. К недоста</w:t>
      </w:r>
      <w:r>
        <w:rPr>
          <w:sz w:val="28"/>
          <w:szCs w:val="28"/>
          <w:lang w:val="en-US"/>
        </w:rPr>
        <w:t>ткам хинина относится также его высокая токсичность. Он ухудшает слух и зрение, угнетает деятельность сердца, вызывает гемолиз (разрушение эритроцитов). В поисках новых противомалярийных средств был синтезирован ряд веществ: акрихин, бигумаль, хингамин, хи</w:t>
      </w:r>
      <w:r>
        <w:rPr>
          <w:sz w:val="28"/>
          <w:szCs w:val="28"/>
          <w:lang w:val="en-US"/>
        </w:rPr>
        <w:t>ноцид и др., которые в настоящее время практически вытеснили хинин из употребления.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Акрихин, подобно хинину, действует на эритроцитарные формы плазмодиев, но отличается меньшей токсичностью. Кроме того, акрихин используется для лечения некоторых заболевани</w:t>
      </w:r>
      <w:r>
        <w:rPr>
          <w:sz w:val="28"/>
          <w:szCs w:val="28"/>
          <w:lang w:val="en-US"/>
        </w:rPr>
        <w:t>й, вызванных простейшими (лямблиями, лейшманиями) и в качестве противоглистного средства.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При длительном применении акрихина отмечается характерное окрашивание кожи и слизистых оболочек в желтый цвет, которое исчезает после отмены препарата. Наиболее серье</w:t>
      </w:r>
      <w:r>
        <w:rPr>
          <w:sz w:val="28"/>
          <w:szCs w:val="28"/>
          <w:lang w:val="en-US"/>
        </w:rPr>
        <w:t>зным недостатком акрихина является его действие на центральную нервную систему: двигательное и речевое возбуждение, нарушение психики, появление галлюцинаций и т.п. Акрихин противопоказан больным психическими заболеваниями, при болезнях печени и почек.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Хин</w:t>
      </w:r>
      <w:r>
        <w:rPr>
          <w:sz w:val="28"/>
          <w:szCs w:val="28"/>
          <w:lang w:val="en-US"/>
        </w:rPr>
        <w:t>гамин оказывает действие на эритроцитарные формы плазмодиев. Кроме того, он используется для лечения амебной дизентерии, ревматизма и различных коллагенозов. При длительном применении хингамина могут возникнуть головные боли, диспепсические расстройства, д</w:t>
      </w:r>
      <w:r>
        <w:rPr>
          <w:sz w:val="28"/>
          <w:szCs w:val="28"/>
          <w:lang w:val="en-US"/>
        </w:rPr>
        <w:t>ерматиты, ухудшение зрения.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Близкими к хингамину по фармакологическим свойствам и показаниям к применению являются гидроксихлорохин (плаквенил) галохин, амодиахин.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Хлоридин активен в отношении бесполых эритроцитарных форм всех видов плазмодиев, но действуе</w:t>
      </w:r>
      <w:r>
        <w:rPr>
          <w:sz w:val="28"/>
          <w:szCs w:val="28"/>
          <w:lang w:val="en-US"/>
        </w:rPr>
        <w:t xml:space="preserve">т медленнее хингамина и сохраняется в организме длительное время (до 2 нед.). Может применяться для лечения и личной химиопрофилактики малярии и токсоплазмоза. Возможны побочные явления: головная боль, головокружение, боли в области сердца, диспепсические </w:t>
      </w:r>
      <w:r>
        <w:rPr>
          <w:sz w:val="28"/>
          <w:szCs w:val="28"/>
          <w:lang w:val="en-US"/>
        </w:rPr>
        <w:t>явления.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Бигумаль отличается широким спектром действия в отношении разных форм плазмодиев и не вызывает серьезных побочных эффектов. Он наиболее широко применяется для лечения и профилактики тропической малярии. Однако у малярийных плазмодиев довольно быст</w:t>
      </w:r>
      <w:r>
        <w:rPr>
          <w:sz w:val="28"/>
          <w:szCs w:val="28"/>
          <w:lang w:val="en-US"/>
        </w:rPr>
        <w:t>ро развивается резистентность к бигумалю.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Хиноцид среди современных противомалярийных средств отличается преимущественным действием на параэритроцитарные формы плазмодия. В то же время он обладает высокой токсичностью для человека, которая усиливается при </w:t>
      </w:r>
      <w:r>
        <w:rPr>
          <w:sz w:val="28"/>
          <w:szCs w:val="28"/>
          <w:lang w:val="en-US"/>
        </w:rPr>
        <w:t>совместном его применении с другими противомалярийными препаратами. Побочное действие хиноцида проявляется в виде диспепсических расстройств, гемолиза эритроцитов, головной боли, нарушения функции мочевыделительной системы.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Препараты …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Хлоридин (chloridinu</w:t>
      </w:r>
      <w:r>
        <w:rPr>
          <w:sz w:val="28"/>
          <w:szCs w:val="28"/>
          <w:lang w:val="en-US"/>
        </w:rPr>
        <w:t>m)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Назначают внутрь.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Формы выпуска: таблетки по 0,005 и 0,01 г.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Хранение: список Б.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Бигумаль (Bigumalium)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Назначают внутрь по 0,3 г 1-2 раза в день. При малярийной коме вводят в вену 10 - 15 мл 1 % раствора бигумаля.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Высшие дозы внутрь: разовая - 0,3 г, су</w:t>
      </w:r>
      <w:r>
        <w:rPr>
          <w:sz w:val="28"/>
          <w:szCs w:val="28"/>
          <w:lang w:val="en-US"/>
        </w:rPr>
        <w:t>точная - 0,6 г.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Формы выпуска: порошок, таблетки по 0,1 г.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Хранение: список Б.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Акрихин (Acrichinum)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Назначают внутрь по 0,3 г 1 - 2 раза в день. При малярийной коме вводят внутривенно 5 - 7,5 мл 4 % раствора акрихина.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Высшие дозы: разовая - 0,3 г, суточная</w:t>
      </w:r>
      <w:r>
        <w:rPr>
          <w:sz w:val="28"/>
          <w:szCs w:val="28"/>
          <w:lang w:val="en-US"/>
        </w:rPr>
        <w:t xml:space="preserve"> - 0,6 г.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Хранение: список Б; в защищенном от света месте.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Хингамин ( Chingaminum)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Назначают внутрь по 0,25 - 5 г 2 - 3 раза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Хиноцид (Chinocidum)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Назначают внутрь по 0,03 г в сутки (в один или два приема после еды).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Высшая доза: разовая и суточная - 0,03 г</w:t>
      </w:r>
      <w:r>
        <w:rPr>
          <w:sz w:val="28"/>
          <w:szCs w:val="28"/>
          <w:lang w:val="en-US"/>
        </w:rPr>
        <w:t>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Формы выпуска: таблетки, покрытые оболочкой по 0,005 и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,01 г.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Хранение: список Б; в хорошо укупоренных банках темного стекла.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Хинина сульфат (Chinini sulfas)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Назначают внутрь в таблетках, облатках или капсулах по 0,25 -0,5 г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- 3 раза в день. Гидрохлорид </w:t>
      </w:r>
      <w:r>
        <w:rPr>
          <w:sz w:val="28"/>
          <w:szCs w:val="28"/>
          <w:lang w:val="en-US"/>
        </w:rPr>
        <w:t>и дигидрохлорид хинина употребляются также для инъекций.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Формы выпуска: порошок и таблетки по 0,25 и 0,5 г; ампулы по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мл %0% раствора.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Хранение: в хорошо укупоренной таре, предохраняющей от действия света.</w:t>
      </w:r>
    </w:p>
    <w:p w:rsidR="00000000" w:rsidRDefault="00CF13CD">
      <w:pPr>
        <w:pStyle w:val="Heading4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Примеры рецептов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Rp.: Tab. Bigumali 0,1 N 10.S. Пр</w:t>
      </w:r>
      <w:r>
        <w:rPr>
          <w:sz w:val="28"/>
          <w:szCs w:val="28"/>
          <w:lang w:val="en-US"/>
        </w:rPr>
        <w:t>инимать по 1 таблетке 2 раза в день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Rp.: Sol. Chingamini 5% - 5 ml.t.d. N 10 in amp.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S. Водить по 10 мл внутримышечно 2 раза в день.: Tab. Acrichini 0,1 N 15.S. Принимать по 3 таблетки на прием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Rp.: Chinini sulfas 0,5.t.d. N 10 in oblates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S.Принимать по 1 </w:t>
      </w:r>
      <w:r>
        <w:rPr>
          <w:sz w:val="28"/>
          <w:szCs w:val="28"/>
        </w:rPr>
        <w:t>облатке 2 раза в день</w:t>
      </w:r>
    </w:p>
    <w:p w:rsidR="00000000" w:rsidRDefault="00CF13CD">
      <w:pPr>
        <w:pStyle w:val="Heading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Противоамебные средства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амеб возбудителем инфекционного заболевания является Entamoeba histolitica. Этот вид амебы вызывает дизентерию с характерными болями в животе и кровавым поносом, напоминающим бактериальную дизентерию. В</w:t>
      </w:r>
      <w:r>
        <w:rPr>
          <w:sz w:val="28"/>
          <w:szCs w:val="28"/>
        </w:rPr>
        <w:t xml:space="preserve"> отличие от бактерий, амебы могут проникнуть глубоко в стенку толстой кишки, в кровеносные сосуды и кровью разноситься в другие органы (печень, легкие и др.) вызывая их поражение (гепатиты, холециститы, абсцессы и т.п.). Поэтому для лечения амебиаза исполь</w:t>
      </w:r>
      <w:r>
        <w:rPr>
          <w:sz w:val="28"/>
          <w:szCs w:val="28"/>
        </w:rPr>
        <w:t>зуются препараты, способные оказывать действие на возбудителей и в просвете кишечника, и за его пределами. В качестве противоамебных средств используются: метронидазол, эметинагидрохлорид, а также тетрациклин, хингамин, хиниофон и др.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F13CD">
      <w:pPr>
        <w:pStyle w:val="Heading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для лечения</w:t>
      </w:r>
      <w:r>
        <w:rPr>
          <w:sz w:val="28"/>
          <w:szCs w:val="28"/>
        </w:rPr>
        <w:t xml:space="preserve"> лямблиоза и хламидиоза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Лямблии нередко паразитируют в кишечнике и желчных протоках, вызывая их воспаление (энтероколиты, холециститы и т.д.).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лечения лямблиоза применяют метронидазол, фуразолидон, аминохинол и др.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заражении хламидиями назначают а</w:t>
      </w:r>
      <w:r>
        <w:rPr>
          <w:sz w:val="28"/>
          <w:szCs w:val="28"/>
        </w:rPr>
        <w:t>зитромицин, доксициклин, эритромицин, офлоксацин и др.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F13CD">
      <w:pPr>
        <w:pStyle w:val="Heading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для лечения трихомонадоза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Трихомонады чаще поражают мочеполовую систему и в редких случаях кишечник. Заражение обычно происходит при половом сношении. Среди женщин трихомонадоз встречается у</w:t>
      </w:r>
      <w:r>
        <w:rPr>
          <w:sz w:val="28"/>
          <w:szCs w:val="28"/>
        </w:rPr>
        <w:t xml:space="preserve"> 50% гинекологических больных, мужчины заболевают реже. Характерными симптомами трихомонадоза у женщин являются зуд и жжение в области наружных половых органов, покраснение слизистой оболочки влагалища и обильные выделения пенистого характера.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мужчин три</w:t>
      </w:r>
      <w:r>
        <w:rPr>
          <w:sz w:val="28"/>
          <w:szCs w:val="28"/>
        </w:rPr>
        <w:t>хомонадоз проявляется незначительными слизистыми или слизисто-гнойными выделениями из уретры, зудом, иногда резью при мочеиспускании. Трихомонады могут проникать в матку и ее придатка, в мочевой пузырь, мочеточники, предстательную железу, придатки яичника,</w:t>
      </w:r>
      <w:r>
        <w:rPr>
          <w:sz w:val="28"/>
          <w:szCs w:val="28"/>
        </w:rPr>
        <w:t xml:space="preserve"> вызывая их воспаление.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лечения трихомонадоза используются: метронидаол (трихопол), фуразолидон, трихомонацид, тинидазол и др.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F13CD">
      <w:pPr>
        <w:tabs>
          <w:tab w:val="left" w:pos="62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для лечения токсоплазмоза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токсоплазме могут поражаться лимфоузлы, кишечник, легкие и другие внутренние органы.</w:t>
      </w:r>
      <w:r>
        <w:rPr>
          <w:sz w:val="28"/>
          <w:szCs w:val="28"/>
        </w:rPr>
        <w:t xml:space="preserve"> Основными препаратами при этом заболевании являются: хлорин, сульфаниламиды, аминохинол и др.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F13CD">
      <w:pPr>
        <w:pStyle w:val="Heading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для лечения лейшманиоза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лейшманиозам относятся инфекционные заболевания, возбудителем которых является лейшмании - одноклеточные микроорганизмы типа</w:t>
      </w:r>
      <w:r>
        <w:rPr>
          <w:sz w:val="28"/>
          <w:szCs w:val="28"/>
        </w:rPr>
        <w:t xml:space="preserve"> простейших. Переносчиками заболевания являются москиты. Существуют две формы заболевания: висцеральный лейшманиоз (кала - азар ) и кожаный лейшманиоз (пендинская язва).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висцеральном лейшманиозе поражаются внутренние органы (печень, селезенка), возника</w:t>
      </w:r>
      <w:r>
        <w:rPr>
          <w:sz w:val="28"/>
          <w:szCs w:val="28"/>
        </w:rPr>
        <w:t>ют лихорадка, анемия, асцит, общее истощение. При кожной форме лейшманиоза образуются язвы. Для лечения лейшманиоза используют препарат сурьмы - солюсурьмин, который вводят внутривенно; натрия стибоглюконат, мономицин, местно - раствор акрихина.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упом</w:t>
      </w:r>
      <w:r>
        <w:rPr>
          <w:sz w:val="28"/>
          <w:szCs w:val="28"/>
        </w:rPr>
        <w:t>янутых средств, используемых для лечения различных протозойных заболеваний, нередко встречаются препараты, ранее описанные в других разделах химиотерапии.Здесь представлена характеристика только тех препаратов, которые обладают избирательными противопротоз</w:t>
      </w:r>
      <w:r>
        <w:rPr>
          <w:sz w:val="28"/>
          <w:szCs w:val="28"/>
        </w:rPr>
        <w:t>ойным действием и раньше не рассматривались. Среди них особое значение имеет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Метронидазол (трихопол). Он обладает широким спектром действия в отношении простейших. К нему чувствительны трихомонады, лямблии и амебы. Препарат хорошо всасывается слизистой обо</w:t>
      </w:r>
      <w:r>
        <w:rPr>
          <w:sz w:val="28"/>
          <w:szCs w:val="28"/>
        </w:rPr>
        <w:t>лоччкой желудочно-кишечного тракта и выделяется почками в неизмененном виде, поэтому оказывает хороший эффект при трихомонадозе мочевыделительной системы. Для лечения трихомонадоза у женщин назначение трихопола внутрь комбинируют с местным (интравагинальны</w:t>
      </w:r>
      <w:r>
        <w:rPr>
          <w:sz w:val="28"/>
          <w:szCs w:val="28"/>
        </w:rPr>
        <w:t>м) введением в виде суппозиториев.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Метронидазол обычно хорошо переносится. В редких случаях наблюдаются сухость во рту, головные боли, диспепсические явления, возможны аллергические реакции. Противопоказаниями для назначения метронидазола являются болезни </w:t>
      </w:r>
      <w:r>
        <w:rPr>
          <w:sz w:val="28"/>
          <w:szCs w:val="28"/>
        </w:rPr>
        <w:t>кроветворных органов, центральной нервной системы, беременность.</w:t>
      </w:r>
    </w:p>
    <w:p w:rsidR="00000000" w:rsidRDefault="00CF13CD">
      <w:pPr>
        <w:pStyle w:val="Heading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Препараты…</w:t>
      </w:r>
    </w:p>
    <w:p w:rsidR="00000000" w:rsidRDefault="00CF13CD">
      <w:pPr>
        <w:pStyle w:val="Heading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Метронидазол (трихопол) (Metronidazolum, Trichopol)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Назначают внутрь по 0,25 г 2 - 3 раза в день и интравагинально по 0,5 г 1 раз в сутки.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выпуска: таблетки по 0,25 и 0,5 г; </w:t>
      </w:r>
      <w:r>
        <w:rPr>
          <w:sz w:val="28"/>
          <w:szCs w:val="28"/>
        </w:rPr>
        <w:t>вагинальные суппозитории по 0,5 г.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Хранение: список Б; в защищенном от света месте.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Эметина гидрохлорид ( Emetini hydrochlorilum )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Назначают подкожно или внутримышечно по 1,5 мл 1 % раствора 2 раза в сутки.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Высшие дозы: разовая - 0,05 г, суточная - 0,1 г.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Хранение: список Б; в защищенном отсвета месте.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Аминохинол (Aminochinolum)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Назначают внутрь по 0,1 - 15 г 2 - 3 раза в день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выпуска: порошок и таблети по 0,025 - 0,05 г.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Хранение: список Б.</w:t>
      </w:r>
    </w:p>
    <w:p w:rsidR="00000000" w:rsidRDefault="00CF13CD">
      <w:pPr>
        <w:pStyle w:val="Heading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Солюсурьмин (Solusurminum)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Вводят внутривенно или подкожно п</w:t>
      </w:r>
      <w:r>
        <w:rPr>
          <w:sz w:val="28"/>
          <w:szCs w:val="28"/>
        </w:rPr>
        <w:t>о 0,1 - 0,15 г на 1 кг массы больного в сутки.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выпуска: в ампулах по 10 мл 20% раствора.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Хранение: список Б; в защищенном от света месте.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Примеры рецептов..: Metronidazoli 0,5.t.d. N 20 in tabul.. Принимать по 1 таблетке 3 раза в день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Rp.:Sol. Emetin</w:t>
      </w:r>
      <w:r>
        <w:rPr>
          <w:sz w:val="28"/>
          <w:szCs w:val="28"/>
          <w:lang w:val="en-US"/>
        </w:rPr>
        <w:t xml:space="preserve">i </w:t>
      </w:r>
      <w:r>
        <w:rPr>
          <w:sz w:val="28"/>
          <w:szCs w:val="28"/>
        </w:rPr>
        <w:t>ллергические</w:t>
      </w:r>
      <w:r>
        <w:rPr>
          <w:sz w:val="28"/>
          <w:szCs w:val="28"/>
          <w:lang w:val="en-US"/>
        </w:rPr>
        <w:t xml:space="preserve"> 1 % - 1 ml.t.d. N 10 in amp.</w:t>
      </w:r>
    </w:p>
    <w:p w:rsidR="00000000" w:rsidRDefault="00CF13CD">
      <w:pPr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S.</w:t>
      </w:r>
      <w:r>
        <w:rPr>
          <w:sz w:val="28"/>
          <w:szCs w:val="28"/>
          <w:lang w:val="en-US"/>
        </w:rPr>
        <w:tab/>
        <w:t>Ddjlbnm gj 2 -3 vk gjl rj;e 2 hfpf d ltym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Rp.: Tab. Aminochinoli 0,05 N 20.S. Принимать по 2 таблетки 2 - 3 раза в день.</w:t>
      </w:r>
    </w:p>
    <w:p w:rsidR="00000000" w:rsidRDefault="00CF13CD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противовирусный противопротозойный лечение заражение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Противовирусные средства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своей </w:t>
      </w:r>
      <w:r>
        <w:rPr>
          <w:sz w:val="28"/>
          <w:szCs w:val="28"/>
        </w:rPr>
        <w:t>структуре вирусы являются нуклеопротеидными частицами, содержащими ДНК или РНК. Проникая в клетки, вирусы ведут себя как паразиты, потому что для своего размножения используют ферментные системы клеток, вызывая повреждение и гибель последних. В связи с эти</w:t>
      </w:r>
      <w:r>
        <w:rPr>
          <w:sz w:val="28"/>
          <w:szCs w:val="28"/>
        </w:rPr>
        <w:t>м трудно подобрать противовирусное средство, не повреждая самой клетки организма. Однако некоторые вирусы после проникновения в клети индуцируют образование своих ферментов, отличающихся от ферментов клеток.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числу таких ферментов можно отнести ДНК - поли</w:t>
      </w:r>
      <w:r>
        <w:rPr>
          <w:sz w:val="28"/>
          <w:szCs w:val="28"/>
        </w:rPr>
        <w:t>меразу. Таким образом, найдены « уязвимые» места механизма размножения вирусов, что является весьма перспективным для создания противовирусных препаратов.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делению вирусов на ДНК- и РНК - содержащих, классификацию противовирусных препаратов и показ</w:t>
      </w:r>
      <w:r>
        <w:rPr>
          <w:sz w:val="28"/>
          <w:szCs w:val="28"/>
        </w:rPr>
        <w:t>аний к их применению можно представить следующим образом.</w:t>
      </w:r>
    </w:p>
    <w:p w:rsidR="00000000" w:rsidRDefault="00CF13CD">
      <w:pPr>
        <w:tabs>
          <w:tab w:val="left" w:pos="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При заболеваниях, вызванных ДНК - содержащими вирусами (герпесы и лишаи кожи и слизистых оболочек, оспа, гепатиты и др.) используют: ацикловир, валацикловир, ганцикловир, видарабин, индоксуридин,</w:t>
      </w:r>
      <w:r>
        <w:rPr>
          <w:sz w:val="28"/>
          <w:szCs w:val="28"/>
        </w:rPr>
        <w:t xml:space="preserve"> фоскарнет, метисазон и др.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При заболеваниях, вызванных РНК - содержащими вирусами (грипп, некоторые бронхопневмонии, аденовирусные инфекции), назначают: мидантан, ремантадин, рибавирин, арбидол, оксолин, занамивир (реленца), осельтамивир (тамифлю) и др</w:t>
      </w:r>
      <w:r>
        <w:rPr>
          <w:sz w:val="28"/>
          <w:szCs w:val="28"/>
        </w:rPr>
        <w:t>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 ретровирусных инфекциях (ВИЧ - инфекция, СПИД) показаны: зидовудин, диданозин, зальцитабин, санквинавир, ритонавир.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 всех вирусных заболеваниях показаны интерфероны- биологические вещества, продуцируемые клетками организма.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современным пред</w:t>
      </w:r>
      <w:r>
        <w:rPr>
          <w:sz w:val="28"/>
          <w:szCs w:val="28"/>
        </w:rPr>
        <w:t>ставлениям, направленность действия противовирусных препаратов может быть различной. Они могут препятствовать фиксированию вирусов к мембранам клеток, проникновение в клети и подавлять размножение вирусов внутри клетки. У большинства известных противовирус</w:t>
      </w:r>
      <w:r>
        <w:rPr>
          <w:sz w:val="28"/>
          <w:szCs w:val="28"/>
        </w:rPr>
        <w:t>ных средств профилактический эффект преобладает над лечебным.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профилактики и лечения гриппа применяют мидантан, ремантадин, арбидол. Последний обладает также интерферогенной активностью.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Интерфероны - это группа соединений, которые вырабатываются клетк</w:t>
      </w:r>
      <w:r>
        <w:rPr>
          <w:sz w:val="28"/>
          <w:szCs w:val="28"/>
        </w:rPr>
        <w:t>ами организма при воздействии на них вирусов, а также других веществ экзогенного и эндогенного происхождения. Интефероны повышают устойчивость клеток в отношении вирусов. Помимо противовирусного действия интерфероны обладают также противоопухолевой и иммун</w:t>
      </w:r>
      <w:r>
        <w:rPr>
          <w:sz w:val="28"/>
          <w:szCs w:val="28"/>
        </w:rPr>
        <w:t>омодулирующей активностью.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настоящего времени высокоэффективных средств для лечения и профилактики заболеваний вирусом иммунодефицита человека (ВИЧ) или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СПИДом, не разработано. Предложены препараты: зидовудин, ставудин, диданозин, зальцитабин, санквинав</w:t>
      </w:r>
      <w:r>
        <w:rPr>
          <w:sz w:val="28"/>
          <w:szCs w:val="28"/>
        </w:rPr>
        <w:t>ир, тормозят развитие болезни, однако полного излечения не дают.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лечении больных СПИДом важное значение имеют иммуномодулирующие средства, или иммунореконструкция, с применением интерферона, интерлейкина, пересадки костного мозга.</w:t>
      </w:r>
    </w:p>
    <w:p w:rsidR="00000000" w:rsidRDefault="00CF13CD">
      <w:pPr>
        <w:pStyle w:val="Heading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Препараты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Ремантадин </w:t>
      </w:r>
      <w:r>
        <w:rPr>
          <w:sz w:val="28"/>
          <w:szCs w:val="28"/>
        </w:rPr>
        <w:t>(Remantadinum)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Назначают внутрь по 0,05 - 0,1 г.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выпуска: таблетки по 0,05 г.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Хранение: список Б; в сухом месте.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Интерферон (Interferonum)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Применяют в виде свежеприготовленного раствора путем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закапывания в носовые хода.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выпуска: в ампулах (в су</w:t>
      </w:r>
      <w:r>
        <w:rPr>
          <w:sz w:val="28"/>
          <w:szCs w:val="28"/>
        </w:rPr>
        <w:t>хом виде).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Хранение: в защищенном от света месте при температуре 4-10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град.С.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Метисазон (Methisazonum)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Назначают внутрь по 0,6 г 2 раза в день.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выпуска: таблетки по 0,2 г.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Хранение: в защищенном от света месте.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Оксолин (Oxolinum)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Применяют наружно в </w:t>
      </w:r>
      <w:r>
        <w:rPr>
          <w:sz w:val="28"/>
          <w:szCs w:val="28"/>
        </w:rPr>
        <w:t>мазях и растворах для смазывания или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закапывания глаз, носа.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выпуска: 0,25%; 0,5: 1; 2 и 3 % мазь; порошок для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приготовления растворов (0,1 и 0,25%)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Хранение: список Б; порошок - при температуре 4 град. С мазь -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комнатной температуре.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Противогри</w:t>
      </w:r>
      <w:r>
        <w:rPr>
          <w:sz w:val="28"/>
          <w:szCs w:val="28"/>
        </w:rPr>
        <w:t>бковые средства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Возбудителями грибковых заболеваний (микозов) являются различные патогенные грибы. Многочисленные формы грибковых заболеваний можно распределить на три группы: дерматомикозы, кандидамикозы, системные (глубокие) микозы. Соответственно этой </w:t>
      </w:r>
      <w:r>
        <w:rPr>
          <w:sz w:val="28"/>
          <w:szCs w:val="28"/>
        </w:rPr>
        <w:t>классификации грибковых заболеваний можно разделить противогрибковые средства.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для лечения дерматомикозов. К группе дерматомикозов относятся грибковые поражения кожи и ее придатков (волос, ногтей), возбудителями которых являются различные дерматоф</w:t>
      </w:r>
      <w:r>
        <w:rPr>
          <w:sz w:val="28"/>
          <w:szCs w:val="28"/>
        </w:rPr>
        <w:t>иты. Среди дерматомикозов наиболее заразными и распространенными является стригущий лишай (трихофития и микроспория),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Парша и грибковые заболевания стоп (эпидермофития). Заражение происходит в результате контакта с больным человеком (общая постель или поль</w:t>
      </w:r>
      <w:r>
        <w:rPr>
          <w:sz w:val="28"/>
          <w:szCs w:val="28"/>
        </w:rPr>
        <w:t>зование общими расческами, гребешками, бритвами, мочалками и т.д.) или больными животными. Характерными особенностями этих дерматомикозов являются поражения кожи, волос и ногтей.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лечении дерматомикозов необходимо создать условия для хорошего контакта п</w:t>
      </w:r>
      <w:r>
        <w:rPr>
          <w:sz w:val="28"/>
          <w:szCs w:val="28"/>
        </w:rPr>
        <w:t>ротивогрибкового препарата с грибом. Для этого нередко приходится удалять пораженные ногтевые пластинки и проводить эпиляцию (удаление волос). Для эпиляции используют таллиевый или эпилиновый пластыри. Противогрибковые средства используются комбинированно:</w:t>
      </w:r>
      <w:r>
        <w:rPr>
          <w:sz w:val="28"/>
          <w:szCs w:val="28"/>
        </w:rPr>
        <w:t xml:space="preserve"> местно и в расчете на резорбтивное действие.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местно действующих противогрибковых средств исползуют амиказол, нитрофунгин, клотримазол, тербинафин, миконназол, раствор йода, салициловую кислоту резорцин и др. Их назначают в мазях, пастах, раство</w:t>
      </w:r>
      <w:r>
        <w:rPr>
          <w:sz w:val="28"/>
          <w:szCs w:val="28"/>
        </w:rPr>
        <w:t>рах, присыпках и т.д. Для местного применения часто используют официальные мази «Цинкундан» и «Ундецин», содержащие ундециленовую кислоту, которая обладает противогрибковой активностью.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Препараты октатионидекамин являются катионными поверхностно-активными </w:t>
      </w:r>
      <w:r>
        <w:rPr>
          <w:sz w:val="28"/>
          <w:szCs w:val="28"/>
        </w:rPr>
        <w:t xml:space="preserve">детергентами. Они резко повышают проницаемость плазматической мембраны и таким образом нарушают жизнедеятельность гриба. Октатион назначают в виде 3% мази при поражении кожи различными видами грибов. Декамин (0,5 - 1% мазь ) втирают в пораженные места при </w:t>
      </w:r>
      <w:r>
        <w:rPr>
          <w:sz w:val="28"/>
          <w:szCs w:val="28"/>
        </w:rPr>
        <w:t>грибковых заболеваниях кожи и ногтевых валиков. При грибковых воспалительных процессах в полости рта (стоматиты, ангина, фарингиты) используют декамин в виде карамели, который кладут под язык или за щеку (до полного рассасывания) через каждые 2-5 часов.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z w:val="28"/>
          <w:szCs w:val="28"/>
        </w:rPr>
        <w:t>иболее эффективным средством резорбтивного действия является антибиотик гризофульвин. Он обладает фунгистатическим (задерживает развитие грибов) действием в отношении различных возбудителей дерматомикозов. Гризиофульвин хорошо всасывается слизистой оболочк</w:t>
      </w:r>
      <w:r>
        <w:rPr>
          <w:sz w:val="28"/>
          <w:szCs w:val="28"/>
        </w:rPr>
        <w:t>ой желудочно-кишечного тракта и избирательно накапливается в роговом слое кожи, ногтях, прикорневых участках волос. Накопление происходит медленно, поэтому лечение продолжительное (от 1 до 9 нед.). В процессе лечения гризиофульвином могут возникнуть головн</w:t>
      </w:r>
      <w:r>
        <w:rPr>
          <w:sz w:val="28"/>
          <w:szCs w:val="28"/>
        </w:rPr>
        <w:t>ые боли, тошнота, крапивница и лейкопения.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для лечения кандидамикозов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Кандидамикозами называют грибковые заболевания, возбудителем которых является дрожжеподобный гриб Candida albicans. Кандидамикозы чаще возникают у ослабленных детей и в пожило</w:t>
      </w:r>
      <w:r>
        <w:rPr>
          <w:sz w:val="28"/>
          <w:szCs w:val="28"/>
        </w:rPr>
        <w:t>м возрасте, а также при длительном назначении антибиотиков,особенно тетрациклинов.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кандидамикозов характерно поражение слизистых оболочек рта, глоти, кишечника, бронхов, наружных половых органов и в редких случаях - общее заражение грибом (кандидамикоз</w:t>
      </w:r>
      <w:r>
        <w:rPr>
          <w:sz w:val="28"/>
          <w:szCs w:val="28"/>
        </w:rPr>
        <w:t>ный сепсис).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лекарственных препаратов при кандидамикозных используются противогрибковые антибиотики нистатин, амфотерицин и леворин: они обладают фунгистатическим и фунгицидным действием т.е. задерживает рост и вызывают гибель дрожжеподобных гри</w:t>
      </w:r>
      <w:r>
        <w:rPr>
          <w:sz w:val="28"/>
          <w:szCs w:val="28"/>
        </w:rPr>
        <w:t>бов.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Нистатин сравнительно плохо всасывается из желудочно-кишечного тракта, поэтому внутрь его назначают в основном при кандидамикозных поражениях слизистой оболочки кишечника, а также для профилактики кандидамикоза при лечении тетрациклином. При кандидами</w:t>
      </w:r>
      <w:r>
        <w:rPr>
          <w:sz w:val="28"/>
          <w:szCs w:val="28"/>
        </w:rPr>
        <w:t>козах кожи нистатин применяют местно в виде мазей, а в случаях поражения слизистой оболочки влагалища - в виде вагинальных суппозиториев. Для полосканий, спинцеваний и ингаляций (при грибковых поражениях дыхательных путей) используются растворы натриевой с</w:t>
      </w:r>
      <w:r>
        <w:rPr>
          <w:sz w:val="28"/>
          <w:szCs w:val="28"/>
        </w:rPr>
        <w:t>оли нистатина. Парентерально растворы нистатина не вводят в связи с раздражающими свойствами препарата. Сходным с нистатином является антибиотик леворин.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нистатина, при кандидамикозных поражениях кожи и слизистых оболочек используется местно клотрима</w:t>
      </w:r>
      <w:r>
        <w:rPr>
          <w:sz w:val="28"/>
          <w:szCs w:val="28"/>
        </w:rPr>
        <w:t>золидекамин. Клотримазол применяют в виде 1% мази (крема, 1% раствора и интравагильных таблеток, содержащих 0,1 г препарата).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для лечения системных микозов. При глубоких микозах могут поражаться внутренние органы, кости, мозг и т.д. К такого рода </w:t>
      </w:r>
      <w:r>
        <w:rPr>
          <w:sz w:val="28"/>
          <w:szCs w:val="28"/>
        </w:rPr>
        <w:t>заболеваниям относятся гистоплазмоз, бластомикоз, криптококкоз и др. Они являются наиболее опасными грибковыми заболеваниями и трудно поддаются лечению. Единственными пока средствами для их лечения являются антибиотики а м фотерицин В и микогептин. Оба пре</w:t>
      </w:r>
      <w:r>
        <w:rPr>
          <w:sz w:val="28"/>
          <w:szCs w:val="28"/>
        </w:rPr>
        <w:t>парата обладают высокой токсичностью.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Амфотерицин В обладает фунгистатическим действием, которое связано с нарушением проницаемости цитоплазматической мембраны грибов.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Назначают его внутривенно, потому что из желудочно-кишечного тракта препарат всасывается</w:t>
      </w:r>
      <w:r>
        <w:rPr>
          <w:sz w:val="28"/>
          <w:szCs w:val="28"/>
        </w:rPr>
        <w:t xml:space="preserve"> плохо. При применении амфотерицина В наблюдаются диспепсические явления снижение артериального давления, нарушения функции почек, печени, ЦНС, кроветворных органов, аллергические реакции. Близким к амфотерицину В по химической структуре и противогрибковом</w:t>
      </w:r>
      <w:r>
        <w:rPr>
          <w:sz w:val="28"/>
          <w:szCs w:val="28"/>
        </w:rPr>
        <w:t>у спектру действия являются антибиотик микогептин.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системных микозах применяют также миконазол, кетоконазол, флуконазол и др.</w:t>
      </w:r>
    </w:p>
    <w:p w:rsidR="00000000" w:rsidRDefault="00CF13CD">
      <w:pPr>
        <w:pStyle w:val="Heading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Препараты …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Нистатин (Nystatinum)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Внутрь назначают в драже и таблетках по 500 000 ЕД 3 - 4 раза в день.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Наружно - в мазях и ва</w:t>
      </w:r>
      <w:r>
        <w:rPr>
          <w:sz w:val="28"/>
          <w:szCs w:val="28"/>
        </w:rPr>
        <w:t>гинальных суппозиториях.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Натриевая соль нистатина используется для ингаляции, спринцеваний, полосканий и т.д 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выпуска: таблетки (драже), свечи по 250 000 - 500 000 ЕД; мази в тубах по 5, 10, 25, и 50 г, содержащие 100 000 ЕД нистатина в 1 г мази.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</w:t>
      </w:r>
      <w:r>
        <w:rPr>
          <w:sz w:val="28"/>
          <w:szCs w:val="28"/>
        </w:rPr>
        <w:t>анение: список Б; в защищенном отсвета месте.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Гризеофульвин (Griseofulvinum)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Назначают внутрь по 0,125 г 4 раза в день.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выпуска: таблетки по 0,125 г.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Хранение: список Б.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Мазь «Ундецин» (Unguentum “Undecinum)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Втирают в пораженные участки кожи 2 раза в</w:t>
      </w:r>
      <w:r>
        <w:rPr>
          <w:sz w:val="28"/>
          <w:szCs w:val="28"/>
        </w:rPr>
        <w:t xml:space="preserve"> день.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Формы выпуска: в стеклянных банках по 25 г.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 р н е н и е: в прохладном месте в плотно укупоренных банках.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Мазь «Цинкундан» (Unguentum “Zincundanum”)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применения, формы выпуска и хранение аналогичны мази «Ундецин».</w:t>
      </w:r>
    </w:p>
    <w:p w:rsidR="00000000" w:rsidRDefault="00CF13CD">
      <w:pPr>
        <w:pStyle w:val="Heading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Примеры рецептов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Rp.: Dragee</w:t>
      </w:r>
      <w:r>
        <w:rPr>
          <w:sz w:val="28"/>
          <w:szCs w:val="28"/>
        </w:rPr>
        <w:t xml:space="preserve"> Nystatini 500 000 ED N 20.S. Принимать по 1 драже 4 раза в день.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Rp.: Griseofulvini 0,125.t.d. N 30 in tabul/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S. Принимать по 1 таблетке 4 раза в день..: Ung. Undecini 25?0.S. Втирать в пораженные участи кожи.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Противоглистные средства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Частота заражения </w:t>
      </w:r>
      <w:r>
        <w:rPr>
          <w:sz w:val="28"/>
          <w:szCs w:val="28"/>
        </w:rPr>
        <w:t>людей паразитическими червями - глистами (гельминтами) очень велика. По основной локализации гельминтов в организме человека различают кишечные и внекишечные гельминтозы, возбудителями которых могут быть круглые черви (нематоды), а также плоские черви - ле</w:t>
      </w:r>
      <w:r>
        <w:rPr>
          <w:sz w:val="28"/>
          <w:szCs w:val="28"/>
        </w:rPr>
        <w:t>нточные (цестоды) и сосальщики (трематоды). Лечение гельминтозов заключается в освобождении организма от гельминтов (дегельминтизация). Поскольку каждое из противоглистных средств активно в отношении определенных гельминтов, лечению гельминтоза должно пред</w:t>
      </w:r>
      <w:r>
        <w:rPr>
          <w:sz w:val="28"/>
          <w:szCs w:val="28"/>
        </w:rPr>
        <w:t>шествовать точное установление возбудителя заболевания.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нематодозе кишечника основными препаратами являются мебендазол (вермокс), пирантела памоат, левамизол (декарис).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Приозводное имидазола мебендазол оказывает угнетающее действие в отношении большинс</w:t>
      </w:r>
      <w:r>
        <w:rPr>
          <w:sz w:val="28"/>
          <w:szCs w:val="28"/>
        </w:rPr>
        <w:t xml:space="preserve">тва круглых гельминтов (особенно активен при аскаридозе, энтеробиозе). Подавляет утилизацию гельминтами глюкозы и парализует их. В больших дозах может быть использован для лечения внекишечных гельминтозов - трихинеллеза и эхинококкоза. Переносится хорошо. </w:t>
      </w:r>
      <w:r>
        <w:rPr>
          <w:sz w:val="28"/>
          <w:szCs w:val="28"/>
        </w:rPr>
        <w:t>Побочные явления редки (иногда возникают диспептические явления, головная боль, кожные аллергические реакции, боли в области живота и др.).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инвазии круглыми гельминтами с успехом используется пирантела памоат. Он нарушает нервно-мышечную передачу и выз</w:t>
      </w:r>
      <w:r>
        <w:rPr>
          <w:sz w:val="28"/>
          <w:szCs w:val="28"/>
        </w:rPr>
        <w:t>ывает у гельминтов спастический паралич. Наиболее часто используется при аскаридозе, энтеробиозе, анкилостомидозе. Переносится хорошо. Высокоэффективен левамизол (декарис), который парализует гельминтов. Однократное введение обеспечивает дегельминтизацию у</w:t>
      </w:r>
      <w:r>
        <w:rPr>
          <w:sz w:val="28"/>
          <w:szCs w:val="28"/>
        </w:rPr>
        <w:t xml:space="preserve"> 90 - 100% пациентов. Практически не вызывает побочных эффектов.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аскаридозе и энтеробиозе широко применяют пиперазин и его соли (адипинат, гексагидрат), который оказывает парализующее действие на нематод. Побочные эффекты редки.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кишечных цестодозах</w:t>
      </w:r>
      <w:r>
        <w:rPr>
          <w:sz w:val="28"/>
          <w:szCs w:val="28"/>
        </w:rPr>
        <w:t xml:space="preserve"> применяются празиквантель, фенасал, аминоакрихин.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Празиквантель (билтрицид) высокоэффективен при кишечных цестодозах, а также при внекишечных трематодозах и цистецеркозе. Нарушает обмен кальция у гельминтов, что приводит к нарушению функции мышц и паралич</w:t>
      </w:r>
      <w:r>
        <w:rPr>
          <w:sz w:val="28"/>
          <w:szCs w:val="28"/>
        </w:rPr>
        <w:t>у.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Фенасал (никлозамид) парализует цестоды, снижает устойчивость ленточных гельминтов к протеолитическим ферментам жкт, которые разрушают цестоды. В связи с этим препарат не рекомендуют при тениозе, возбудителем которого является вооруженный (свиной) цепен</w:t>
      </w:r>
      <w:r>
        <w:rPr>
          <w:sz w:val="28"/>
          <w:szCs w:val="28"/>
        </w:rPr>
        <w:t>ь, так как при этом может возникнуть цистицеркоз. Применяют его при инвазии широким лентецом, невооруженным (бычьим) цепнем, карликовым цепнем. При последующем приеме солевых слабительных эффективность фенасала снижается. Переносится хорошо.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трематодоз</w:t>
      </w:r>
      <w:r>
        <w:rPr>
          <w:sz w:val="28"/>
          <w:szCs w:val="28"/>
        </w:rPr>
        <w:t>ах печени эффективен хлоксил. Его назначают внутрь (после еды) при фасциолезе, описторхозе. За 1-2 дня до лечения и в период применения хлоксила (2 дня) ограничивают прием жиров и исключают алкоголь. Могут возникать головокружение, ощущение легкого опьянен</w:t>
      </w:r>
      <w:r>
        <w:rPr>
          <w:sz w:val="28"/>
          <w:szCs w:val="28"/>
        </w:rPr>
        <w:t>ия, сонливость, боли в области печени. Аллергические реакции связаны с действием продуктов распада гельминтов. Противопоказан при заболеваниях печени, декомпенсации сердца, беременности.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Препараты.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Мебендазол (Mebendazolum) назначают внутрь 0,01г/кг. Табле</w:t>
      </w:r>
      <w:r>
        <w:rPr>
          <w:sz w:val="28"/>
          <w:szCs w:val="28"/>
        </w:rPr>
        <w:t>тки по 0,1 г.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Пиперазина адипинат (Piperazini adipinas) назначают внутрь 1,5 - 2 г. Таблетки по 0,2 и 0,5 г.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Фенасал (Phenasalum) назначают внутрь 2 г. Таблетки по 0.25 г.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Празиквантель (Praziquantel) внутрь 0,025 - 0,04 г/кг. Таблетки по 0,6 г.</w:t>
      </w:r>
    </w:p>
    <w:p w:rsidR="00000000" w:rsidRDefault="00CF13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Хлоксил (C</w:t>
      </w:r>
      <w:r>
        <w:rPr>
          <w:sz w:val="28"/>
          <w:szCs w:val="28"/>
        </w:rPr>
        <w:t>hloxylum) внутрь по 0,06 г/кг. Порошок.</w:t>
      </w: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13CD"/>
    <w:rsid w:val="00C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4684BDAF-371A-4204-94FB-0AAC3D62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  <w:lang w:val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  <w:lang w:val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5622</Words>
  <Characters>32049</Characters>
  <Application>Microsoft Office Word</Application>
  <DocSecurity>4</DocSecurity>
  <Lines>267</Lines>
  <Paragraphs>75</Paragraphs>
  <ScaleCrop>false</ScaleCrop>
  <Company/>
  <LinksUpToDate>false</LinksUpToDate>
  <CharactersWithSpaces>37596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2024-03-04T07:15:00Z</dcterms:created>
  <dcterms:modified xsi:type="dcterms:W3CDTF">2024-03-04T07:15:00Z</dcterms:modified>
</cp:coreProperties>
</file>