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дополнительного профессионального образования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повышения квалификации специалистов здравоохранения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Хабаровского края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туберкулеза и инфекционных заболеваний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"Сестри</w:t>
      </w:r>
      <w:r>
        <w:rPr>
          <w:rFonts w:ascii="Times New Roman CYR" w:hAnsi="Times New Roman CYR" w:cs="Times New Roman CYR"/>
          <w:sz w:val="28"/>
          <w:szCs w:val="28"/>
        </w:rPr>
        <w:t>нское дело во фтизиатрии ПС" с 10.10.2011г. по 21.11.2011г.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"Противотуберкулезные препараты основного и резервного ряда"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Ларионова А.А.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Карпенко О.Л.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Кафедры: Макарова Т.Е.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07.11.2011г.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 2011г.</w:t>
      </w:r>
    </w:p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Заболеваемость туберкулезом в России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Принципы лечения больных туберкулезом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принципы химиотерапии больных туберкулезом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химиотерапии больных туберкулезом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B7D5B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это инфекционное заболевание, вспышка и распространение которого во многом зависит от социальных условий, прежде всего от уровня жизни широких слоев населения.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Эпидемическая ситуация по туберкулезу в Российской Федерации начала ухудшаться </w:t>
      </w:r>
      <w:r>
        <w:rPr>
          <w:rFonts w:ascii="Times New Roman CYR" w:hAnsi="Times New Roman CYR" w:cs="Times New Roman CYR"/>
          <w:sz w:val="28"/>
          <w:szCs w:val="28"/>
        </w:rPr>
        <w:t>с начала 90-х годов прошлого века, что было связано с целым рядом объективных и субъективных причин:</w:t>
      </w:r>
    </w:p>
    <w:p w:rsidR="00000000" w:rsidRDefault="00EB7D5B">
      <w:pPr>
        <w:widowControl w:val="0"/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ухудшением социально-экономических условий жизни;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оживлением миграции, в том числе из неблагополучных по туберкулезу регионов (Чечня) и стран бывшего С</w:t>
      </w:r>
      <w:r>
        <w:rPr>
          <w:rFonts w:ascii="Times New Roman CYR" w:hAnsi="Times New Roman CYR" w:cs="Times New Roman CYR"/>
          <w:sz w:val="28"/>
          <w:szCs w:val="28"/>
        </w:rPr>
        <w:t>оветского Союза (Таджикистан, Узбекистан, Казахстан);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ухудшением показателей общего здоровья населения;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изменением патоморфоза туберкулезной инфекции;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ликвидацией управленческой вертикали в здравоохранении, что негативно отразилось на формировании ед</w:t>
      </w:r>
      <w:r>
        <w:rPr>
          <w:rFonts w:ascii="Times New Roman CYR" w:hAnsi="Times New Roman CYR" w:cs="Times New Roman CYR"/>
          <w:sz w:val="28"/>
          <w:szCs w:val="28"/>
        </w:rPr>
        <w:t>иной политики борьбы с туберкулезом;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сокращением расходов на здравоохранение, в том числе и на противотуберкулезные мероприятия (профилактику, выявление, диагностику и лечение туберкулеза);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ухудшением материально-технической базы противотуберкулезных у</w:t>
      </w:r>
      <w:r>
        <w:rPr>
          <w:rFonts w:ascii="Times New Roman CYR" w:hAnsi="Times New Roman CYR" w:cs="Times New Roman CYR"/>
          <w:sz w:val="28"/>
          <w:szCs w:val="28"/>
        </w:rPr>
        <w:t>чреждений;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снижением кадрового потенциала противотуберкулезной службы;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уменьшением уровня организационно-методической работы со стороны профильных научно-исследовательских институтов, что привело к отставанию нормативной базы противотуберкулезной служб</w:t>
      </w:r>
      <w:r>
        <w:rPr>
          <w:rFonts w:ascii="Times New Roman CYR" w:hAnsi="Times New Roman CYR" w:cs="Times New Roman CYR"/>
          <w:sz w:val="28"/>
          <w:szCs w:val="28"/>
        </w:rPr>
        <w:t>ы и соответственно к просчетам в планировании противоэпидемических мероприятий и дефектам при реализации имеющихся возможностей.</w:t>
      </w:r>
    </w:p>
    <w:p w:rsidR="00000000" w:rsidRDefault="00EB7D5B">
      <w:pPr>
        <w:widowControl w:val="0"/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медики всех стран все чаще сталкиваются с новой угрозой - устойчивостью бактерий к противотуберкулезным лекар</w:t>
      </w:r>
      <w:r>
        <w:rPr>
          <w:rFonts w:ascii="Times New Roman CYR" w:hAnsi="Times New Roman CYR" w:cs="Times New Roman CYR"/>
          <w:sz w:val="28"/>
          <w:szCs w:val="28"/>
        </w:rPr>
        <w:t>ственным средствам.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Заболеваемость туберкулезом в России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Впервые выявленные больные туберкулезом, зарегистрированные в 2005-2008 гг. в Российской Федерации (отчетные формы № 8 и № 33)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3"/>
        <w:gridCol w:w="743"/>
        <w:gridCol w:w="751"/>
        <w:gridCol w:w="617"/>
        <w:gridCol w:w="751"/>
        <w:gridCol w:w="617"/>
        <w:gridCol w:w="751"/>
        <w:gridCol w:w="617"/>
        <w:gridCol w:w="751"/>
        <w:gridCol w:w="617"/>
        <w:gridCol w:w="751"/>
        <w:gridCol w:w="6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 (форма №)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Впервые выявленные больные, всего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119226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117646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118367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120835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117227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 ч. впервые выявленные больные среди постоянного населения*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103432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102809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102379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103834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100938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из них зарегистрированные в ПТУ субъектов РФ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96646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96867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96251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97886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94755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Впервые выявленные больные среди иностранных граждан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ервые выявленные больные, зарегнстр. другими ведомствами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16598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15453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15677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из них зарегистрированные в учреждениях ФСИН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14898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14283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13865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14501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14072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</w:tr>
    </w:tbl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Общее число впервые выявленных больных по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№ 8, исключая данные по ФСИН и иностранным гражданам</w:t>
      </w:r>
    </w:p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высокие показатели заболеваемости в 2009 г., как и в предыдущие годы, отмечались в Дальневосточном (124,1), Сибирском (100,8), Уральском (73,6) федеральных округах. В пятнадцати субъект</w:t>
      </w:r>
      <w:r>
        <w:rPr>
          <w:rFonts w:ascii="Times New Roman CYR" w:hAnsi="Times New Roman CYR" w:cs="Times New Roman CYR"/>
          <w:sz w:val="28"/>
          <w:szCs w:val="28"/>
        </w:rPr>
        <w:t>ах Российской Федерации показатель заболеваемости в 1,5 и более раза превышает средний по стране: Еврейской автономной области (159,5), Амурской (114,4), Омской (112,0), Кемеровской (110,9), Иркутской (101,2), Новосибирской (98,10), Курганской (94,94), Сах</w:t>
      </w:r>
      <w:r>
        <w:rPr>
          <w:rFonts w:ascii="Times New Roman CYR" w:hAnsi="Times New Roman CYR" w:cs="Times New Roman CYR"/>
          <w:sz w:val="28"/>
          <w:szCs w:val="28"/>
        </w:rPr>
        <w:t>алинской (94,06) областях, республиках Тыва (164,2), Бурятия (129,8), Хакасия (103,6), Алтай (97,45), Приморском (188,3) Хабаровском (110,0), Алтайском краях (102,1).Среди всех впервые выявленных больных туберкулёзом бациллярные больные (бактериовыделители</w:t>
      </w:r>
      <w:r>
        <w:rPr>
          <w:rFonts w:ascii="Times New Roman CYR" w:hAnsi="Times New Roman CYR" w:cs="Times New Roman CYR"/>
          <w:sz w:val="28"/>
          <w:szCs w:val="28"/>
        </w:rPr>
        <w:t>) в 2007 году составили 40 % (47 239 человек, показатель - 33,15 на 100 тыс. населения).</w:t>
      </w:r>
    </w:p>
    <w:p w:rsidR="00000000" w:rsidRDefault="00EB7D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смертность &lt;http://ru.wikipedia.org/wiki/%D0%A1%D0%BC%D0%B5%D1%80%D1%82%D0%BD%D0%BE%D1%81%D1%82%D1%8C&gt; от туберкулёза за 2007 год составила 18,1 человека на 1</w:t>
      </w:r>
      <w:r>
        <w:rPr>
          <w:rFonts w:ascii="Times New Roman CYR" w:hAnsi="Times New Roman CYR" w:cs="Times New Roman CYR"/>
          <w:sz w:val="28"/>
          <w:szCs w:val="28"/>
        </w:rPr>
        <w:t>00 тысяч жителей (на 7 % ниже, чем в 2006 г.), таким образом, в год умирает от туберкулёза около 25 000 человек (в среднем по Европе смертность от туберкулёза приблизительно в 3 раза меньше). В структуре смертности от инфекционных и паразитарных заболевани</w:t>
      </w:r>
      <w:r>
        <w:rPr>
          <w:rFonts w:ascii="Times New Roman CYR" w:hAnsi="Times New Roman CYR" w:cs="Times New Roman CYR"/>
          <w:sz w:val="28"/>
          <w:szCs w:val="28"/>
        </w:rPr>
        <w:t>й в России доля умерших от туберкулёза составляет 85 %.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4C71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90975" cy="261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Принципы лечения больных с туберкулезом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лечения взрослых больных туберкулезом являются: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Ликвидация клинических проявлений туберкулеза и стойкое зажи</w:t>
      </w:r>
      <w:r>
        <w:rPr>
          <w:rFonts w:ascii="Times New Roman CYR" w:hAnsi="Times New Roman CYR" w:cs="Times New Roman CYR"/>
          <w:sz w:val="28"/>
          <w:szCs w:val="28"/>
        </w:rPr>
        <w:t>вление туберкулезных изменений с восстановлением трудоспособности и социального статуса.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Излечение больного с наименьшим изменением их привычного образа жизни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Предотвращение летальных исходов у тяжелобольных.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 допустить обширных поражений легких с </w:t>
      </w:r>
      <w:r>
        <w:rPr>
          <w:rFonts w:ascii="Times New Roman CYR" w:hAnsi="Times New Roman CYR" w:cs="Times New Roman CYR"/>
          <w:sz w:val="28"/>
          <w:szCs w:val="28"/>
        </w:rPr>
        <w:t>последующими осложнениями.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Предупредить развитие лекарственно-устойчивых штаммов микобактерий туберкулеза.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Защитить членов семьи и общество от туберкулезной инфекции.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лечения детей, больных туберкулезом, является излечение без остаточных изменени</w:t>
      </w:r>
      <w:r>
        <w:rPr>
          <w:rFonts w:ascii="Times New Roman CYR" w:hAnsi="Times New Roman CYR" w:cs="Times New Roman CYR"/>
          <w:sz w:val="28"/>
          <w:szCs w:val="28"/>
        </w:rPr>
        <w:t>й или с минимальными изменениями.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Принципы лечения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Индивидуальность с учетом резистентности микобактерий туберкулеза и переносимости больным противотуберкулезных препаратов.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 медицинского персонала за приемом противотуберкулезных препаратов.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Комплексное воздействие на возбудителя и звенья патогенеза, лечение сопутствующих заболеваний, хирургическое лечение.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Комбинированное назначение не менее 3-4 противотуберкулезных препаратов, что необходимо для эффективного воздействия на бактериальную по</w:t>
      </w:r>
      <w:r>
        <w:rPr>
          <w:rFonts w:ascii="Times New Roman CYR" w:hAnsi="Times New Roman CYR" w:cs="Times New Roman CYR"/>
          <w:sz w:val="28"/>
          <w:szCs w:val="28"/>
        </w:rPr>
        <w:t>пуляцию, состоящую из чувствительных микобактерий и мутантов, устойчивых к отдельным препаратам.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Непрерывность приема лекарств от 6-8 мес у детей с нелокальными формами до 14-16 мес у детей с осложненными формами заболевания.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Большая длительность лечен</w:t>
      </w:r>
      <w:r>
        <w:rPr>
          <w:rFonts w:ascii="Times New Roman CYR" w:hAnsi="Times New Roman CYR" w:cs="Times New Roman CYR"/>
          <w:sz w:val="28"/>
          <w:szCs w:val="28"/>
        </w:rPr>
        <w:t>ия оказывает благоприятное воздействие на течение туберкулезной инфекции, но отрицательно сказывается на психосоциальном состоянии пациента.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Этапность: больные с активным туберкулезом получают лечение только в условиях туберкулезного стационара, при стих</w:t>
      </w:r>
      <w:r>
        <w:rPr>
          <w:rFonts w:ascii="Times New Roman CYR" w:hAnsi="Times New Roman CYR" w:cs="Times New Roman CYR"/>
          <w:sz w:val="28"/>
          <w:szCs w:val="28"/>
        </w:rPr>
        <w:t>ании активности процесса возможно продолжение лечения в санатории, в дальнейшем больные наблюдаются амбулаторно врачом противотуберкулезного диспансера.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Лечение больных туберкулезом проводят комплексно. Оно включает химиотерапию, хирургическое лечение и ко</w:t>
      </w:r>
      <w:r>
        <w:rPr>
          <w:rFonts w:ascii="Times New Roman CYR" w:hAnsi="Times New Roman CYR" w:cs="Times New Roman CYR"/>
          <w:sz w:val="28"/>
          <w:szCs w:val="28"/>
        </w:rPr>
        <w:t>ллапсотерапию, а так же патогенетическую терапию и лечение сопутствующих заболеваний.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назначается с учетом формы и фазы туберкулезного процесса, определяется стандартами, которые представляют схемы лечения определенных групп больных туберкулезом.</w:t>
      </w:r>
    </w:p>
    <w:p w:rsidR="00000000" w:rsidRDefault="00EB7D5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Основные принципы химиотерапии больных туберкулезом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 бактерия лекарственный химиотерапия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Химиотерапия является основным компонентом лечения туберкулеза и заключается в применении лекарственных препаратов, подавляющих размножение микобактерий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туберкулеза (бактериостатический эффект) или уничтожающих их в организме больного (бактерицидный эффект).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Химиотерапия должна быть начата в возможно ранние сроки после установления/подтверждения диагноза в противотуберкулезном учреждении и быть комбинир</w:t>
      </w:r>
      <w:r>
        <w:rPr>
          <w:rFonts w:ascii="Times New Roman CYR" w:hAnsi="Times New Roman CYR" w:cs="Times New Roman CYR"/>
          <w:sz w:val="28"/>
          <w:szCs w:val="28"/>
        </w:rPr>
        <w:t>ованной (полихимиотерапия). Несколько противотуберкулезных препаратов применяют одновременно в течение достаточно длительного времени.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Курс химиотерапии состоит из двух фаз.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интенсивной терапии направлена на ликвидацию клинических проявлений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ания, максимальное воздействие на популяцию микобактерий туберкулеза с целью прекращения бактериовыделения и предотвращения развития лекарственной устойчивости, уменьшение инфильтративных и деструктивных изменений в органах. Фаза интенсивной терапии может </w:t>
      </w:r>
      <w:r>
        <w:rPr>
          <w:rFonts w:ascii="Times New Roman CYR" w:hAnsi="Times New Roman CYR" w:cs="Times New Roman CYR"/>
          <w:sz w:val="28"/>
          <w:szCs w:val="28"/>
        </w:rPr>
        <w:t>быть составляющей частью подготовки к хирургической операции.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Фаза продолжения терапии направлена на подавление сохраняющейся микобактериальной популяции. Она обеспечивает дальнейшее уменьшение воспалительных изменений и инволюцию туберкулезного процесса, </w:t>
      </w:r>
      <w:r>
        <w:rPr>
          <w:rFonts w:ascii="Times New Roman CYR" w:hAnsi="Times New Roman CYR" w:cs="Times New Roman CYR"/>
          <w:sz w:val="28"/>
          <w:szCs w:val="28"/>
        </w:rPr>
        <w:t>а так же восстановление функциональных возможностей больного.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Организация химиотерапии больных туберкулезом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Лечение больных туберкулезом проводят под наблюдением врача-фтизиатра, который обеспечивает правильность и эффективность лечения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Весь курс </w:t>
      </w:r>
      <w:r>
        <w:rPr>
          <w:rFonts w:ascii="Times New Roman CYR" w:hAnsi="Times New Roman CYR" w:cs="Times New Roman CYR"/>
          <w:sz w:val="28"/>
          <w:szCs w:val="28"/>
        </w:rPr>
        <w:t>лечения или его отдельные этапы можно проводить в стационаре с круглосуточным или только дневным пребыванием, в санатории, в амбулаторных условиях.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Организацию лечения осуществляют с учетом тяжести течения заболевания, эпидемической опасности больного, м</w:t>
      </w:r>
      <w:r>
        <w:rPr>
          <w:rFonts w:ascii="Times New Roman CYR" w:hAnsi="Times New Roman CYR" w:cs="Times New Roman CYR"/>
          <w:sz w:val="28"/>
          <w:szCs w:val="28"/>
        </w:rPr>
        <w:t>атериально-бытовых условий его жизни, психологических особенностей больного, степени социальной адаптации и местных условий.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Независимо от организационной формы лечения должны быть соблюдены стандарт лечения и контроль за его проведением, а так же преемс</w:t>
      </w:r>
      <w:r>
        <w:rPr>
          <w:rFonts w:ascii="Times New Roman CYR" w:hAnsi="Times New Roman CYR" w:cs="Times New Roman CYR"/>
          <w:sz w:val="28"/>
          <w:szCs w:val="28"/>
        </w:rPr>
        <w:t>твенность между лечебными учреждениями при переходе больного от одной организационной формы лечения к другой.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 лечения оценивают с использованием всех критериев эффективности и оформлением соответствующей документации. Контроль эффективности леч</w:t>
      </w:r>
      <w:r>
        <w:rPr>
          <w:rFonts w:ascii="Times New Roman CYR" w:hAnsi="Times New Roman CYR" w:cs="Times New Roman CYR"/>
          <w:sz w:val="28"/>
          <w:szCs w:val="28"/>
        </w:rPr>
        <w:t>ения осуществляет вышестоящее противотуберкулезное учреждение.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Противотуберкулезные препараты подразделяют на основные и резервные.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основным противотуберкулезным препаратам относятся: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Изониазид (тубазид) - оказывает высокое бактерицидное и бактериоста</w:t>
      </w:r>
      <w:r>
        <w:rPr>
          <w:rFonts w:ascii="Times New Roman CYR" w:hAnsi="Times New Roman CYR" w:cs="Times New Roman CYR"/>
          <w:sz w:val="28"/>
          <w:szCs w:val="28"/>
        </w:rPr>
        <w:t>тическое действие на микобактерии туберкулеза, действует на внутриклеточно и внеклеточно расположение микобактерии. Показания: как првентивное средство для предотвращения передачи инфекции группам риска, при прогрессировании процесса, для предотвращения ре</w:t>
      </w:r>
      <w:r>
        <w:rPr>
          <w:rFonts w:ascii="Times New Roman CYR" w:hAnsi="Times New Roman CYR" w:cs="Times New Roman CYR"/>
          <w:sz w:val="28"/>
          <w:szCs w:val="28"/>
        </w:rPr>
        <w:t>цидива болезни как основной компонент противотуберкулезной терапии.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Рифампицин - антибиотик широкого спектра действия. Действует на внеклеточно и внутриклеточно расположенные микобактерии туберкулеза, оказывая сильное стерилизующее и бактерицидное действ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Стрептомицин - аминогликозид, активен в отношении быстро размножающихся внеклеточно расположенных микобактерий туберкулеза.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Этамбутол - антимикробное средство, действует на внеклеточные и внутриклеточные микобактерии, активен только в отношении раз</w:t>
      </w:r>
      <w:r>
        <w:rPr>
          <w:rFonts w:ascii="Times New Roman CYR" w:hAnsi="Times New Roman CYR" w:cs="Times New Roman CYR"/>
          <w:sz w:val="28"/>
          <w:szCs w:val="28"/>
        </w:rPr>
        <w:t>множающихся микобактерий туберкулеза.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Пиразинамид - обладает бактерицидным и бактериостатическим свойством. Особенно эффективен в первые 2 мес лечения.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Резервные противотуберкулезные препараты: (таблица №2)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Канамицин и амикацин - оказывают бактериостат</w:t>
      </w:r>
      <w:r>
        <w:rPr>
          <w:rFonts w:ascii="Times New Roman CYR" w:hAnsi="Times New Roman CYR" w:cs="Times New Roman CYR"/>
          <w:sz w:val="28"/>
          <w:szCs w:val="28"/>
        </w:rPr>
        <w:t>ическое и бактерицидное действие на микобактерии туберкулеза, резистентные к стрептомицину.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Протионамид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Этионамид - активен в отношении быстро и медленно размножающихся внеклеточно и внутриклеточно расположенных микобактерий туберкулеза. Активен в кисл</w:t>
      </w:r>
      <w:r>
        <w:rPr>
          <w:rFonts w:ascii="Times New Roman CYR" w:hAnsi="Times New Roman CYR" w:cs="Times New Roman CYR"/>
          <w:sz w:val="28"/>
          <w:szCs w:val="28"/>
        </w:rPr>
        <w:t>ой среде. Назначается при лечении лекарственно-устойчивого туберкулеза, тормозит развитие резистентности к другим препаратам.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из группы фторхинолонов: ломефлоксацин - обладает бактерицидным свойством, активен в отношении внутриклеточно располож</w:t>
      </w:r>
      <w:r>
        <w:rPr>
          <w:rFonts w:ascii="Times New Roman CYR" w:hAnsi="Times New Roman CYR" w:cs="Times New Roman CYR"/>
          <w:sz w:val="28"/>
          <w:szCs w:val="28"/>
        </w:rPr>
        <w:t>енных микобактерий туберкулеза, офлоксацин и другие.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Капреомицин - действует бактериостатически на внутриклеточно расположенные микобактерии туберкулеза.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Рифабутин - Резервный препарат, антибиотик широкого спектра действия.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Циклосерин - Антибиотик ши</w:t>
      </w:r>
      <w:r>
        <w:rPr>
          <w:rFonts w:ascii="Times New Roman CYR" w:hAnsi="Times New Roman CYR" w:cs="Times New Roman CYR"/>
          <w:sz w:val="28"/>
          <w:szCs w:val="28"/>
        </w:rPr>
        <w:t>рокого спектра действия, способен блокировать ферменты и разрушать нормальный метаболизм микробной клетки, что ведет к утрате ею кислотоустойчивости.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Парааминосалициловая кислота (Паск) - действует бактериостатически на быстро размножающиеся микобактерии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туберкулеза. Применяют в дозе 4000 мг 3 раза в сутки перорально с кислой пищей или питьем.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Режимы лечения туберкулеза легких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Согласно приказа Министерства Здравоохраниения РФ №109 от 21 марта 2003 года, лечение туберкулеза легких проводится по стандартны</w:t>
      </w:r>
      <w:r>
        <w:rPr>
          <w:rFonts w:ascii="Times New Roman CYR" w:hAnsi="Times New Roman CYR" w:cs="Times New Roman CYR"/>
          <w:sz w:val="28"/>
          <w:szCs w:val="28"/>
        </w:rPr>
        <w:t>м режимам: III, I, II А, II Б и IV. Также согласно этому приказу лечение подразделяется на две фазы: интенсивную фазу и фазу продолжения лечения. В интенсивной фазе лечения необходимо достигнуть максимально возможного рассасывания инфильтрации и закрытия р</w:t>
      </w:r>
      <w:r>
        <w:rPr>
          <w:rFonts w:ascii="Times New Roman CYR" w:hAnsi="Times New Roman CYR" w:cs="Times New Roman CYR"/>
          <w:sz w:val="28"/>
          <w:szCs w:val="28"/>
        </w:rPr>
        <w:t>аспада, а также прекращения бактериовыделения. Интенсивная фаза лечения туберкулеза легких длится от 2 до 6 месяцев в зависимости от режима лечения. Фаза продолжения лечения непосредственно после окончания интенсивной фазы лечения и по срокам длится от 4 д</w:t>
      </w:r>
      <w:r>
        <w:rPr>
          <w:rFonts w:ascii="Times New Roman CYR" w:hAnsi="Times New Roman CYR" w:cs="Times New Roman CYR"/>
          <w:sz w:val="28"/>
          <w:szCs w:val="28"/>
        </w:rPr>
        <w:t>о 12 месяцев в зависимости от режима лечения.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 режим лечения проводится при ограниченных формах туберкулеза без распада и бактериовыделения. Этот режим лечения включает в себя 4 препарата (изониазид, рифампицин, этамбутол и пиразинамид) в течении 2 меся</w:t>
      </w:r>
      <w:r>
        <w:rPr>
          <w:rFonts w:ascii="Times New Roman CYR" w:hAnsi="Times New Roman CYR" w:cs="Times New Roman CYR"/>
          <w:sz w:val="28"/>
          <w:szCs w:val="28"/>
        </w:rPr>
        <w:t>цев в интенсивной фазе лечения и 2 препарата (изониазид и рифампицин) в течении 4 месяцев в фазе продолжения лечения.режим лечения назначается при ограниченных и распространенных туберкулезных процессах с наличием распада и бактериовыделения. Этот режим ле</w:t>
      </w:r>
      <w:r>
        <w:rPr>
          <w:rFonts w:ascii="Times New Roman CYR" w:hAnsi="Times New Roman CYR" w:cs="Times New Roman CYR"/>
          <w:sz w:val="28"/>
          <w:szCs w:val="28"/>
        </w:rPr>
        <w:t>чения включает в себя 4 препарата (изониазид, рифампицин, пиразинамид, этамбутол или стрептомицин) в течении 2 месяцев в интенсивной фазе лечения и 2 препарата (изониазид и рифампицин) в течении 4 месяцев в фазе продолжения лечения.А режим лечения назначае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после прерывания лечения, а также при обширных туберкулезных процессах, таких как диссеминированный и милиарный туберкулез легких. Этот режим лечения включает в себя 5 препаратов (изониазид, рифампицин, пиразинамид, этамбутол и стрептомицин) в течении </w:t>
      </w:r>
      <w:r>
        <w:rPr>
          <w:rFonts w:ascii="Times New Roman CYR" w:hAnsi="Times New Roman CYR" w:cs="Times New Roman CYR"/>
          <w:sz w:val="28"/>
          <w:szCs w:val="28"/>
        </w:rPr>
        <w:t>2 месяцев с последующим переходом на 4 препарата (изониазид, рифампицин, пиразинамид, этамбутол) в течении еще 1 месяца в интенсивной фазе лечения и 3 препарата (изониазид, рифампицин и этамбутол) в течении 4 месяцев в фазе продолжения лечения.Б режим назн</w:t>
      </w:r>
      <w:r>
        <w:rPr>
          <w:rFonts w:ascii="Times New Roman CYR" w:hAnsi="Times New Roman CYR" w:cs="Times New Roman CYR"/>
          <w:sz w:val="28"/>
          <w:szCs w:val="28"/>
        </w:rPr>
        <w:t xml:space="preserve">ачается при подозрении на лекарственную устойчивость или при остропрогрессирующем туберкулезе легких. Этот режим лечения включает в себя препарата (изониазид, рифампицин, пиразинамид, этамбутол, канамицин, протионамид и фторхинолоны) в течении 3 месяцев в </w:t>
      </w:r>
      <w:r>
        <w:rPr>
          <w:rFonts w:ascii="Times New Roman CYR" w:hAnsi="Times New Roman CYR" w:cs="Times New Roman CYR"/>
          <w:sz w:val="28"/>
          <w:szCs w:val="28"/>
        </w:rPr>
        <w:t>интенсивной фазе лечения. За 3 месяца будет готов результат посева мокроты на чувствительность микобактерии туберкулеза (МБТ) к противотуберкулезным препаратам (ПТП), в связи с чем фаза продолжения назначается с учетом чувствительности МБТ к ПТП.</w:t>
      </w:r>
    </w:p>
    <w:p w:rsidR="00000000" w:rsidRDefault="00EB7D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IV режим </w:t>
      </w:r>
      <w:r>
        <w:rPr>
          <w:rFonts w:ascii="Times New Roman CYR" w:hAnsi="Times New Roman CYR" w:cs="Times New Roman CYR"/>
          <w:sz w:val="28"/>
          <w:szCs w:val="28"/>
        </w:rPr>
        <w:t>лечения назначается при обнаружении устойчивости МБТ к изониазиду и рифампицину. При этом режиме назначается не менее 5 противотуберкулезных препаратов с учетом чувствительности микобактерий туберкулеза к противотуберкулезным препаратам сроком на 6 месяцев</w:t>
      </w:r>
      <w:r>
        <w:rPr>
          <w:rFonts w:ascii="Times New Roman CYR" w:hAnsi="Times New Roman CYR" w:cs="Times New Roman CYR"/>
          <w:sz w:val="28"/>
          <w:szCs w:val="28"/>
        </w:rPr>
        <w:t>. В фазе продолжения назначается не менее 3 противотуберкулезных препаратов с учетом чувствительности сроком на 12 месяцев.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каждом режиме лечения есть интенсивная фаза в течение которой необходимо добиться значительного уменьшения симптомов туберкулеза &lt;</w:t>
      </w:r>
      <w:r>
        <w:rPr>
          <w:rFonts w:ascii="Times New Roman CYR" w:hAnsi="Times New Roman CYR" w:cs="Times New Roman CYR"/>
          <w:sz w:val="28"/>
          <w:szCs w:val="28"/>
        </w:rPr>
        <w:t>http://medzeit.ru/tuberkulez/simptomy-tuberkuleza-legkix.html&gt;, а также уменьшения инфильтративно-деструктивных изменений и прекращения бактериовыделения. В фазе продолжения осуществляется долечивание и до полного исчезновения активности туберкулеза.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</w:t>
      </w:r>
      <w:r>
        <w:rPr>
          <w:rFonts w:ascii="Times New Roman CYR" w:hAnsi="Times New Roman CYR" w:cs="Times New Roman CYR"/>
          <w:sz w:val="28"/>
          <w:szCs w:val="28"/>
        </w:rPr>
        <w:t>ие туберкулеза требует дисциплинированного употребления противотуберкулезных препаратов, не допускающего необоснованных перерывов. При частом прерывании лечения или употребления не всех назначенных препаратов резко возрастает опасность развития лекарственн</w:t>
      </w:r>
      <w:r>
        <w:rPr>
          <w:rFonts w:ascii="Times New Roman CYR" w:hAnsi="Times New Roman CYR" w:cs="Times New Roman CYR"/>
          <w:sz w:val="28"/>
          <w:szCs w:val="28"/>
        </w:rPr>
        <w:t>ой устойчивости микобактерии туберкулеза, что значительно осложняет дальнейшее лечение туберкулеза.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Противотуберкулезные препараты при длительном лечении могут токсически воздействовать на печень, в связи с чем необходимо принимать гепатопротекторы (карсил</w:t>
      </w:r>
      <w:r>
        <w:rPr>
          <w:rFonts w:ascii="Times New Roman CYR" w:hAnsi="Times New Roman CYR" w:cs="Times New Roman CYR"/>
          <w:sz w:val="28"/>
          <w:szCs w:val="28"/>
        </w:rPr>
        <w:t>, эссенциале-форте или др.) в течение всего периода лечения туберкулеза легких.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 Основные противотуберкулезные препараты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3595"/>
        <w:gridCol w:w="419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реакции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 медперсонала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Изониазид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Сыпь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активности печеночных ферментов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ериферическая нейропатия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Незначительное воздействие на центральную нервную систему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Следить за активностью печеночных ферментов. Применение пиридоксина (витамин В6) может предотвратить развитие периферической нейропатии и снизить влияния на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Рифампиц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Рвота, понос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Кровотечения Гриппоподобные симптомы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Сыпь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Почечная недостаточность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Жар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Следить за активностью печеночных ферментов, количеством тромбоцитов, показателями клинического анализа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Пиразинамид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Сыпь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понос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 в суставах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Гиперурикемия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Подагра (редко)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Следить за активностью печеночных ферментов и содержанием мочевой кислоты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Этамбутол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Ретробульбарный неврит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Сыпь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Ежемесячный контроль остроты зрения и цветовосприятия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Стрептомицин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Ототоксичн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ость (потеря слуха или нарушение функции вестибулярного аппарата)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Почечная токсичность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 проверять исходный уровень и показатели слуха и функции почек в динамике.</w:t>
            </w:r>
          </w:p>
        </w:tc>
      </w:tr>
    </w:tbl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 Резервные противотуберкулезные препараты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1864"/>
        <w:gridCol w:w="2090"/>
        <w:gridCol w:w="24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 применения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жедневная доза (максимальная доза)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Капреомицин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Внутримышечно, внутривенно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15-30 мг/кг (1г)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 слуховая, вестибулярная, почечная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Канамицин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Внутримышечно, внутривенно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15-30 мг/кг (1г)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 слуховая, вестибулярная, почечная.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Амикацин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Внутримышечно, внутривенно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15-30 мг/кг (1г)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 слуховая, вестибулярная, почечная.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Этионамид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 мг/кг (1г)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Гепатотоксичность Металлический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Парааминосалициловая Кислота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мг/кг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стройство желудка, гепатотоксичность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Ципрофлоксацин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750-1500 мг/сут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Головокружение Головные боли Беспокойство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Офлоксацин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600-800 мг/сут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Головокружение Головные боли Беспокойство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Левофлоксац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мг/сут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Головокружение Головные боли Беспокойство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Циклосерин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 мг/кг (1г)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7D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Психоз Конвульсии Депрессия Головные боли Сыпь</w:t>
            </w:r>
          </w:p>
        </w:tc>
      </w:tr>
    </w:tbl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инфекция управляемая и излечимая. Если улучшить социа</w:t>
      </w:r>
      <w:r>
        <w:rPr>
          <w:rFonts w:ascii="Times New Roman CYR" w:hAnsi="Times New Roman CYR" w:cs="Times New Roman CYR"/>
          <w:sz w:val="28"/>
          <w:szCs w:val="28"/>
        </w:rPr>
        <w:t>льные условия жизни пациента, обеспечить его необходимыми лекарственными препаратами, контролировать прием препаратов, придерживаться принципов комплексного лечения, то все это поможет снизить заболеваемость и смертность от туберкулеза.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7D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B7D5B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Фтизиатрия Б.Е. Бородулин, Е.А. Бородулина Москва 2006г.</w:t>
      </w:r>
    </w:p>
    <w:p w:rsidR="00000000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"Сестринское дело во фтизиатрии" Н.А. Митрофанова, Ю.В. Пылаева Москва 2010г.</w:t>
      </w:r>
    </w:p>
    <w:p w:rsidR="00EB7D5B" w:rsidRDefault="00EB7D5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 сайт "Лечение туберкулеза препаратами основного и резервного ряда"</w:t>
      </w:r>
    </w:p>
    <w:sectPr w:rsidR="00EB7D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71"/>
    <w:rsid w:val="00B54C71"/>
    <w:rsid w:val="00E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2024-03-06T20:45:00Z</dcterms:created>
  <dcterms:modified xsi:type="dcterms:W3CDTF">2024-03-06T20:45:00Z</dcterms:modified>
</cp:coreProperties>
</file>