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0403">
      <w:pPr>
        <w:widowControl w:val="0"/>
        <w:suppressAutoHyphens/>
        <w:autoSpaceDE w:val="0"/>
        <w:autoSpaceDN w:val="0"/>
        <w:adjustRightInd w:val="0"/>
        <w:spacing w:after="0" w:line="360" w:lineRule="auto"/>
        <w:ind w:firstLine="720"/>
        <w:jc w:val="center"/>
        <w:rPr>
          <w:rFonts w:ascii="Times New Roman CYR" w:hAnsi="Times New Roman CYR" w:cs="Times New Roman CYR"/>
          <w:sz w:val="28"/>
          <w:szCs w:val="28"/>
        </w:rPr>
      </w:pPr>
      <w:bookmarkStart w:id="0" w:name="_GoBack"/>
      <w:bookmarkEnd w:id="0"/>
    </w:p>
    <w:p w:rsidR="00000000" w:rsidRDefault="002A0403">
      <w:pPr>
        <w:widowControl w:val="0"/>
        <w:suppressAutoHyphens/>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ПСИХОМЕТРИЧЕСКАЯ ОЦЕНКА МЕТОДИКИ ДИАГНОСТИКИ РАБОТОГОЛЬНОЙ ЗАВИСИМОСТИ Б.КИЛЛИНЖЕР</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 последние годы в психологии наблюдается рост исследований, посвященных различным формам зависимости: как химическим (наркотическая, алкогольная зависимост</w:t>
      </w:r>
      <w:r>
        <w:rPr>
          <w:rFonts w:ascii="Times New Roman CYR" w:hAnsi="Times New Roman CYR" w:cs="Times New Roman CYR"/>
          <w:sz w:val="28"/>
          <w:szCs w:val="28"/>
        </w:rPr>
        <w:t>и), так и нехимическим, среди которых выделяют: азартные игры, сексуальную аддикцию, аддикцию отношений, работогольную аддикцию, аддикцию к трате денег, интернет-аддикцию и компьютерную аддикцию [3, 5, 6, 7, 8, 9]. В данной работе мы рассмотрим работогольн</w:t>
      </w:r>
      <w:r>
        <w:rPr>
          <w:rFonts w:ascii="Times New Roman CYR" w:hAnsi="Times New Roman CYR" w:cs="Times New Roman CYR"/>
          <w:sz w:val="28"/>
          <w:szCs w:val="28"/>
        </w:rPr>
        <w:t>ую аддикцию, как вид аддиктивного поведения. По наблюдениям врачей в Украине эта проблема возникла 15 лет назад, и с каждым годом увеличивается количество людей, страдающих этой зависимостью [5]. Как отмечает главный государственный санитарный врач Украины</w:t>
      </w:r>
      <w:r>
        <w:rPr>
          <w:rFonts w:ascii="Times New Roman CYR" w:hAnsi="Times New Roman CYR" w:cs="Times New Roman CYR"/>
          <w:sz w:val="28"/>
          <w:szCs w:val="28"/>
        </w:rPr>
        <w:t xml:space="preserve"> Сергей Бережнов [4], в настоящее время на рабочем месте молодые люди умирают чаще, чем 10 лет назад. Наяду с алкоголизмом, сердечнососудистыми заболеваниями, онкологическими болезнями основными причинами смертей становятся смерти, вызванные переутомлением</w:t>
      </w:r>
      <w:r>
        <w:rPr>
          <w:rFonts w:ascii="Times New Roman CYR" w:hAnsi="Times New Roman CYR" w:cs="Times New Roman CYR"/>
          <w:sz w:val="28"/>
          <w:szCs w:val="28"/>
        </w:rPr>
        <w:t xml:space="preserve"> на рабочем месте. По словам С.Бережного [4] уже сейчас в Киеве, Харькове и других крупных городах Украины работоголики интенсивно обращаются за помощью, к врачам различных специальностей: чаще всего гинекологам, урологам, эндокринологам. Это связано с тем</w:t>
      </w:r>
      <w:r>
        <w:rPr>
          <w:rFonts w:ascii="Times New Roman CYR" w:hAnsi="Times New Roman CYR" w:cs="Times New Roman CYR"/>
          <w:sz w:val="28"/>
          <w:szCs w:val="28"/>
        </w:rPr>
        <w:t>, что работоголизм приводит к нарушению обмена веществ, дисбактериозу, гастриту, язве желудка и 12-ти перстной кишки, заболеваниям щитовидной железы, гинекологическим и урологическим заболеваниям, болезням опорно-двигательного аппарата (в первую очередь пр</w:t>
      </w:r>
      <w:r>
        <w:rPr>
          <w:rFonts w:ascii="Times New Roman CYR" w:hAnsi="Times New Roman CYR" w:cs="Times New Roman CYR"/>
          <w:sz w:val="28"/>
          <w:szCs w:val="28"/>
        </w:rPr>
        <w:t>облемам позвоночника) [4].</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работоголик представляет серьезную проблему для тех, кто его окружает, особенно страдают близкие родственники: живя с зависимым человеком они становятся созависимыми (как при любом виде аддикции), а их протест проти</w:t>
      </w:r>
      <w:r>
        <w:rPr>
          <w:rFonts w:ascii="Times New Roman CYR" w:hAnsi="Times New Roman CYR" w:cs="Times New Roman CYR"/>
          <w:sz w:val="28"/>
          <w:szCs w:val="28"/>
        </w:rPr>
        <w:t>в такой модели зависимости может выражаться в том, что они идут по пути химической зависимости, или другом виде нехимической аддикции [4, 5].</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работоголизма становится необходимым на данном этапе </w:t>
      </w:r>
      <w:r>
        <w:rPr>
          <w:rFonts w:ascii="Times New Roman CYR" w:hAnsi="Times New Roman CYR" w:cs="Times New Roman CYR"/>
          <w:sz w:val="28"/>
          <w:szCs w:val="28"/>
        </w:rPr>
        <w:lastRenderedPageBreak/>
        <w:t>развития психологии. Малоизученность проблемы трудог</w:t>
      </w:r>
      <w:r>
        <w:rPr>
          <w:rFonts w:ascii="Times New Roman CYR" w:hAnsi="Times New Roman CYR" w:cs="Times New Roman CYR"/>
          <w:sz w:val="28"/>
          <w:szCs w:val="28"/>
        </w:rPr>
        <w:t>ольной зависимости открывает широкие перспективы исследований в этой области. В литературе приводится методика диагностики работогольной зависимости Б.Киллинжер, однако она не адаптирована к украинской выборке, нормы, используемые для оценки уровня зависим</w:t>
      </w:r>
      <w:r>
        <w:rPr>
          <w:rFonts w:ascii="Times New Roman CYR" w:hAnsi="Times New Roman CYR" w:cs="Times New Roman CYR"/>
          <w:sz w:val="28"/>
          <w:szCs w:val="28"/>
        </w:rPr>
        <w:t>ости, получены на американской выборке, отсутствуют психометрические характеристики методики. Поэтому разработка методов диагностики и коррекции работоголизма является актуальной и важной проблемой отечественной психологии.</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работы: адаптация методики </w:t>
      </w:r>
      <w:r>
        <w:rPr>
          <w:rFonts w:ascii="Times New Roman CYR" w:hAnsi="Times New Roman CYR" w:cs="Times New Roman CYR"/>
          <w:sz w:val="28"/>
          <w:szCs w:val="28"/>
        </w:rPr>
        <w:t>диагностики работогольной зависимости Б.Киллинжер к украинской выборке и создание психометрического паспорта методики.</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поставленной целью были определены задачи исследования:</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диагностика работогольной зависимости с помощью альтернативных</w:t>
      </w:r>
      <w:r>
        <w:rPr>
          <w:rFonts w:ascii="Times New Roman CYR" w:hAnsi="Times New Roman CYR" w:cs="Times New Roman CYR"/>
          <w:sz w:val="28"/>
          <w:szCs w:val="28"/>
        </w:rPr>
        <w:t xml:space="preserve"> методик (метод экспертных оценок, опросник Б.Киллинжер).</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адаптация и создание психометрического паспорта опросника Б.Килинжер:</w:t>
      </w:r>
    </w:p>
    <w:p w:rsidR="00000000" w:rsidRDefault="002A0403" w:rsidP="00E13B24">
      <w:pPr>
        <w:widowControl w:val="0"/>
        <w:numPr>
          <w:ilvl w:val="0"/>
          <w:numId w:val="1"/>
        </w:numPr>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валидности опросника Б.Киллинжер;</w:t>
      </w:r>
    </w:p>
    <w:p w:rsidR="00000000" w:rsidRDefault="002A0403" w:rsidP="00E13B24">
      <w:pPr>
        <w:widowControl w:val="0"/>
        <w:numPr>
          <w:ilvl w:val="0"/>
          <w:numId w:val="1"/>
        </w:numPr>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надежности опросника Б.Киллинжер;</w:t>
      </w:r>
    </w:p>
    <w:p w:rsidR="00000000" w:rsidRDefault="002A0403" w:rsidP="00E13B24">
      <w:pPr>
        <w:widowControl w:val="0"/>
        <w:numPr>
          <w:ilvl w:val="0"/>
          <w:numId w:val="1"/>
        </w:numPr>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процедуры </w:t>
      </w:r>
      <w:r>
        <w:rPr>
          <w:rFonts w:ascii="Times New Roman CYR" w:hAnsi="Times New Roman CYR" w:cs="Times New Roman CYR"/>
          <w:sz w:val="28"/>
          <w:szCs w:val="28"/>
          <w:lang w:val="en-US"/>
        </w:rPr>
        <w:t>point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analysis</w:t>
      </w:r>
      <w:r>
        <w:rPr>
          <w:rFonts w:ascii="Times New Roman CYR" w:hAnsi="Times New Roman CYR" w:cs="Times New Roman CYR"/>
          <w:sz w:val="28"/>
          <w:szCs w:val="28"/>
        </w:rPr>
        <w:t xml:space="preserve"> (выявление дифференциальной силы каждого из утверждений опросника Б.Киллинжер);</w:t>
      </w:r>
    </w:p>
    <w:p w:rsidR="00000000" w:rsidRDefault="002A0403" w:rsidP="00E13B24">
      <w:pPr>
        <w:widowControl w:val="0"/>
        <w:numPr>
          <w:ilvl w:val="0"/>
          <w:numId w:val="1"/>
        </w:numPr>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процедуры нормализации опросника Б.Киллинжер;</w:t>
      </w:r>
    </w:p>
    <w:p w:rsidR="00000000" w:rsidRDefault="002A0403" w:rsidP="00E13B24">
      <w:pPr>
        <w:widowControl w:val="0"/>
        <w:numPr>
          <w:ilvl w:val="0"/>
          <w:numId w:val="1"/>
        </w:numPr>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порогового диагностического коэффициента работогольной зависимости.</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Методы и процедура исследо</w:t>
      </w:r>
      <w:r>
        <w:rPr>
          <w:rFonts w:ascii="Times New Roman CYR" w:hAnsi="Times New Roman CYR" w:cs="Times New Roman CYR"/>
          <w:sz w:val="28"/>
          <w:szCs w:val="28"/>
        </w:rPr>
        <w:t>вания: при проведении исследования нами были использованы следующие методики:</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опросник Б.Киллинжер: данная методика состоит из 30 утверждений, которые несут в себе характеристики работогольной зависимости, ответ на </w:t>
      </w:r>
      <w:r>
        <w:rPr>
          <w:rFonts w:ascii="Times New Roman CYR" w:hAnsi="Times New Roman CYR" w:cs="Times New Roman CYR"/>
          <w:sz w:val="28"/>
          <w:szCs w:val="28"/>
        </w:rPr>
        <w:lastRenderedPageBreak/>
        <w:t>каждый вопрос отмечается плюсом (если и</w:t>
      </w:r>
      <w:r>
        <w:rPr>
          <w:rFonts w:ascii="Times New Roman CYR" w:hAnsi="Times New Roman CYR" w:cs="Times New Roman CYR"/>
          <w:sz w:val="28"/>
          <w:szCs w:val="28"/>
        </w:rPr>
        <w:t>спытуемый согласен с утверждением) или минусом (если не согласен) [4];</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метод экспертных оценок с использованием процедуры крайних групп. На основании анализа литературных данных были составлены 10 утверждений, которые несут в себе характеристики работого</w:t>
      </w:r>
      <w:r>
        <w:rPr>
          <w:rFonts w:ascii="Times New Roman CYR" w:hAnsi="Times New Roman CYR" w:cs="Times New Roman CYR"/>
          <w:sz w:val="28"/>
          <w:szCs w:val="28"/>
        </w:rPr>
        <w:t>льной зависимости. Далее были подобраны 5 экспертов из рефферентной группы испытуемых (близких людей, хорошо знакомых с личностными особенностями испытуемого). Эксперты должны отметить наличие или отсутствие, по их мнению, каждого из качеств у испытуемого.</w:t>
      </w:r>
      <w:r>
        <w:rPr>
          <w:rFonts w:ascii="Times New Roman CYR" w:hAnsi="Times New Roman CYR" w:cs="Times New Roman CYR"/>
          <w:sz w:val="28"/>
          <w:szCs w:val="28"/>
        </w:rPr>
        <w:t xml:space="preserve"> Затем подсчитывается среднее арифметическое значение всех оценок экспертов у данного испытуемого.</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Используя следующие методы математической статистики проводилась математическая обработка результатов (для вычисления данных критериев использовался программ</w:t>
      </w:r>
      <w:r>
        <w:rPr>
          <w:rFonts w:ascii="Times New Roman CYR" w:hAnsi="Times New Roman CYR" w:cs="Times New Roman CYR"/>
          <w:sz w:val="28"/>
          <w:szCs w:val="28"/>
        </w:rPr>
        <w:t xml:space="preserve">ный пакет </w:t>
      </w:r>
      <w:r>
        <w:rPr>
          <w:rFonts w:ascii="Times New Roman CYR" w:hAnsi="Times New Roman CYR" w:cs="Times New Roman CYR"/>
          <w:sz w:val="28"/>
          <w:szCs w:val="28"/>
          <w:lang w:val="en-US"/>
        </w:rPr>
        <w:t>SPSS</w:t>
      </w:r>
      <w:r>
        <w:rPr>
          <w:rFonts w:ascii="Times New Roman CYR" w:hAnsi="Times New Roman CYR" w:cs="Times New Roman CYR"/>
          <w:sz w:val="28"/>
          <w:szCs w:val="28"/>
        </w:rPr>
        <w:t xml:space="preserve"> 11.5):</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вычисление показателей центра и разнообразия выборки: среднее арифметическое, медиана, мода, дисперсия, стандартное отклонение, размах;</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вычисление меры информативности признака </w:t>
      </w:r>
      <w:r>
        <w:rPr>
          <w:rFonts w:ascii="Times New Roman CYR" w:hAnsi="Times New Roman CYR" w:cs="Times New Roman CYR"/>
          <w:sz w:val="28"/>
          <w:szCs w:val="28"/>
          <w:lang w:val="en-US"/>
        </w:rPr>
        <w:t>j</w:t>
      </w:r>
      <w:r>
        <w:rPr>
          <w:rFonts w:ascii="Times New Roman CYR" w:hAnsi="Times New Roman CYR" w:cs="Times New Roman CYR"/>
          <w:sz w:val="28"/>
          <w:szCs w:val="28"/>
        </w:rPr>
        <w:t xml:space="preserve"> Кульбака;</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корреляционный анализ с использованием </w:t>
      </w:r>
      <w:r>
        <w:rPr>
          <w:rFonts w:ascii="Times New Roman CYR" w:hAnsi="Times New Roman CYR" w:cs="Times New Roman CYR"/>
          <w:sz w:val="28"/>
          <w:szCs w:val="28"/>
        </w:rPr>
        <w:t>коэффициента коррелляции Кендалла;</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вычисление коэффициента множественной корреляции.</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исследуемой выборки: в исследовании принимали участие мужчины и женщины, в возрасте от 18 до 60 лет, с различным образованием, с опытом работы не менее 2-</w:t>
      </w:r>
      <w:r>
        <w:rPr>
          <w:rFonts w:ascii="Times New Roman CYR" w:hAnsi="Times New Roman CYR" w:cs="Times New Roman CYR"/>
          <w:sz w:val="28"/>
          <w:szCs w:val="28"/>
        </w:rPr>
        <w:t>х лет, проживающие в городе Харькове. Количество исследуемых составило 150 человек.</w:t>
      </w:r>
    </w:p>
    <w:p w:rsidR="00000000" w:rsidRDefault="002A040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исследования: при помощи метода экспертной оценки, общая выборка, составившая 150 человек, была разделена на 3 группы: трудоголики (в количестве 55 </w:t>
      </w:r>
      <w:r>
        <w:rPr>
          <w:rFonts w:ascii="Times New Roman CYR" w:hAnsi="Times New Roman CYR" w:cs="Times New Roman CYR"/>
          <w:sz w:val="28"/>
          <w:szCs w:val="28"/>
          <w:lang w:val="uk-UA"/>
        </w:rPr>
        <w:t>чел</w:t>
      </w:r>
      <w:r>
        <w:rPr>
          <w:rFonts w:ascii="Times New Roman CYR" w:hAnsi="Times New Roman CYR" w:cs="Times New Roman CYR"/>
          <w:sz w:val="28"/>
          <w:szCs w:val="28"/>
        </w:rPr>
        <w:t>.), нетруд</w:t>
      </w:r>
      <w:r>
        <w:rPr>
          <w:rFonts w:ascii="Times New Roman CYR" w:hAnsi="Times New Roman CYR" w:cs="Times New Roman CYR"/>
          <w:sz w:val="28"/>
          <w:szCs w:val="28"/>
        </w:rPr>
        <w:t xml:space="preserve">оголики (55 </w:t>
      </w:r>
      <w:r>
        <w:rPr>
          <w:rFonts w:ascii="Times New Roman CYR" w:hAnsi="Times New Roman CYR" w:cs="Times New Roman CYR"/>
          <w:sz w:val="28"/>
          <w:szCs w:val="28"/>
          <w:lang w:val="uk-UA"/>
        </w:rPr>
        <w:t>человек</w:t>
      </w:r>
      <w:r>
        <w:rPr>
          <w:rFonts w:ascii="Times New Roman CYR" w:hAnsi="Times New Roman CYR" w:cs="Times New Roman CYR"/>
          <w:sz w:val="28"/>
          <w:szCs w:val="28"/>
        </w:rPr>
        <w:t xml:space="preserve">) и маргинальные (40 </w:t>
      </w:r>
      <w:r>
        <w:rPr>
          <w:rFonts w:ascii="Times New Roman CYR" w:hAnsi="Times New Roman CYR" w:cs="Times New Roman CYR"/>
          <w:sz w:val="28"/>
          <w:szCs w:val="28"/>
          <w:lang w:val="uk-UA"/>
        </w:rPr>
        <w:t>человек</w:t>
      </w:r>
      <w:r>
        <w:rPr>
          <w:rFonts w:ascii="Times New Roman CYR" w:hAnsi="Times New Roman CYR" w:cs="Times New Roman CYR"/>
          <w:sz w:val="28"/>
          <w:szCs w:val="28"/>
        </w:rPr>
        <w:t>). Расщепление проводилось на основании метода крайних групп (мы стпроили график на основании среднего балла, полученного по методу экспертной оценки. Соответственно, испытуемые, получившие от 1 до 7 баллов по</w:t>
      </w:r>
      <w:r>
        <w:rPr>
          <w:rFonts w:ascii="Times New Roman CYR" w:hAnsi="Times New Roman CYR" w:cs="Times New Roman CYR"/>
          <w:sz w:val="28"/>
          <w:szCs w:val="28"/>
        </w:rPr>
        <w:t xml:space="preserve"> экспертной оценке - вошли в группу не работоголиков, получившие от 33 до 40 баллов -работогольнозависимые, от 8 до 32 баллов - маргинальные).</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разделения испытуемых по данным метода экспертной оценки на работоголиков и неработоголиков, нами было сост</w:t>
      </w:r>
      <w:r>
        <w:rPr>
          <w:rFonts w:ascii="Times New Roman CYR" w:hAnsi="Times New Roman CYR" w:cs="Times New Roman CYR"/>
          <w:sz w:val="28"/>
          <w:szCs w:val="28"/>
        </w:rPr>
        <w:t>авлено статистиеское описание выборок (табл. 1).</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rPr>
        <w:t>Таблица 1. Статистическое описание выборок</w:t>
      </w:r>
    </w:p>
    <w:tbl>
      <w:tblPr>
        <w:tblW w:w="0" w:type="auto"/>
        <w:tblInd w:w="250" w:type="dxa"/>
        <w:tblLayout w:type="fixed"/>
        <w:tblLook w:val="0000" w:firstRow="0" w:lastRow="0" w:firstColumn="0" w:lastColumn="0" w:noHBand="0" w:noVBand="0"/>
      </w:tblPr>
      <w:tblGrid>
        <w:gridCol w:w="2693"/>
        <w:gridCol w:w="1701"/>
        <w:gridCol w:w="1418"/>
        <w:gridCol w:w="1843"/>
      </w:tblGrid>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1701" w:type="dxa"/>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трудоголики</w:t>
            </w:r>
          </w:p>
        </w:tc>
        <w:tc>
          <w:tcPr>
            <w:tcW w:w="1418" w:type="dxa"/>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Трудоголики</w:t>
            </w:r>
          </w:p>
        </w:tc>
        <w:tc>
          <w:tcPr>
            <w:tcW w:w="1843" w:type="dxa"/>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выборка</w:t>
            </w:r>
          </w:p>
        </w:tc>
      </w:tr>
      <w:tr w:rsidR="00000000">
        <w:tblPrEx>
          <w:tblCellMar>
            <w:top w:w="0" w:type="dxa"/>
            <w:bottom w:w="0" w:type="dxa"/>
          </w:tblCellMar>
        </w:tblPrEx>
        <w:tc>
          <w:tcPr>
            <w:tcW w:w="2693" w:type="dxa"/>
            <w:tcBorders>
              <w:top w:val="nil"/>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арифметическое</w:t>
            </w:r>
          </w:p>
        </w:tc>
        <w:tc>
          <w:tcPr>
            <w:tcW w:w="170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15,4</w:t>
            </w:r>
          </w:p>
        </w:tc>
        <w:tc>
          <w:tcPr>
            <w:tcW w:w="1418"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22,1</w:t>
            </w:r>
          </w:p>
        </w:tc>
        <w:tc>
          <w:tcPr>
            <w:tcW w:w="1843"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w:t>
            </w:r>
          </w:p>
        </w:tc>
      </w:tr>
      <w:tr w:rsidR="00000000">
        <w:tblPrEx>
          <w:tblCellMar>
            <w:top w:w="0" w:type="dxa"/>
            <w:bottom w:w="0" w:type="dxa"/>
          </w:tblCellMar>
        </w:tblPrEx>
        <w:tc>
          <w:tcPr>
            <w:tcW w:w="2693" w:type="dxa"/>
            <w:tcBorders>
              <w:top w:val="nil"/>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медиана</w:t>
            </w:r>
          </w:p>
        </w:tc>
        <w:tc>
          <w:tcPr>
            <w:tcW w:w="170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418"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843"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2693" w:type="dxa"/>
            <w:tcBorders>
              <w:top w:val="nil"/>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мода</w:t>
            </w:r>
          </w:p>
        </w:tc>
        <w:tc>
          <w:tcPr>
            <w:tcW w:w="170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418"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43"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c>
          <w:tcPr>
            <w:tcW w:w="2693" w:type="dxa"/>
            <w:tcBorders>
              <w:top w:val="nil"/>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дисперсия</w:t>
            </w:r>
          </w:p>
        </w:tc>
        <w:tc>
          <w:tcPr>
            <w:tcW w:w="170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w:t>
            </w:r>
          </w:p>
        </w:tc>
        <w:tc>
          <w:tcPr>
            <w:tcW w:w="1418"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74,8</w:t>
            </w:r>
          </w:p>
        </w:tc>
        <w:tc>
          <w:tcPr>
            <w:tcW w:w="1843"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r>
      <w:tr w:rsidR="00000000">
        <w:tblPrEx>
          <w:tblCellMar>
            <w:top w:w="0" w:type="dxa"/>
            <w:bottom w:w="0" w:type="dxa"/>
          </w:tblCellMar>
        </w:tblPrEx>
        <w:tc>
          <w:tcPr>
            <w:tcW w:w="2693" w:type="dxa"/>
            <w:tcBorders>
              <w:top w:val="nil"/>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стандартное от</w:t>
            </w:r>
            <w:r>
              <w:rPr>
                <w:rFonts w:ascii="Times New Roman CYR" w:hAnsi="Times New Roman CYR" w:cs="Times New Roman CYR"/>
                <w:sz w:val="20"/>
                <w:szCs w:val="20"/>
              </w:rPr>
              <w:t>клонение</w:t>
            </w:r>
          </w:p>
        </w:tc>
        <w:tc>
          <w:tcPr>
            <w:tcW w:w="170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418"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1843"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r>
      <w:tr w:rsidR="00000000">
        <w:tblPrEx>
          <w:tblCellMar>
            <w:top w:w="0" w:type="dxa"/>
            <w:bottom w:w="0" w:type="dxa"/>
          </w:tblCellMar>
        </w:tblPrEx>
        <w:tc>
          <w:tcPr>
            <w:tcW w:w="2693" w:type="dxa"/>
            <w:tcBorders>
              <w:top w:val="nil"/>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размах</w:t>
            </w:r>
          </w:p>
        </w:tc>
        <w:tc>
          <w:tcPr>
            <w:tcW w:w="170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18"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843"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bl>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Вторым этапом исследования стало сравнение выборок нетрудоголиков и трудогоиков по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-критерию Стьюдента для определения значимых различий между выборками [2, 10]. Результаты исследования (</w:t>
      </w:r>
      <w:r>
        <w:rPr>
          <w:rFonts w:ascii="Times New Roman" w:hAnsi="Times New Roman" w:cs="Times New Roman"/>
          <w:sz w:val="28"/>
          <w:szCs w:val="28"/>
          <w:lang w:val="en-US"/>
        </w:rPr>
        <w:t>τ</w:t>
      </w:r>
      <w:r>
        <w:rPr>
          <w:rFonts w:ascii="Times New Roman CYR" w:hAnsi="Times New Roman CYR" w:cs="Times New Roman CYR"/>
          <w:sz w:val="28"/>
          <w:szCs w:val="28"/>
        </w:rPr>
        <w:t>=0,423, р&lt;0,004) свидетельс</w:t>
      </w:r>
      <w:r>
        <w:rPr>
          <w:rFonts w:ascii="Times New Roman CYR" w:hAnsi="Times New Roman CYR" w:cs="Times New Roman CYR"/>
          <w:sz w:val="28"/>
          <w:szCs w:val="28"/>
        </w:rPr>
        <w:t>твуют о наличии значимых различий между группами испытуемых.</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поставленных задач данного исследования является проблема </w:t>
      </w:r>
      <w:r>
        <w:rPr>
          <w:rFonts w:ascii="Times New Roman CYR" w:hAnsi="Times New Roman CYR" w:cs="Times New Roman CYR"/>
          <w:sz w:val="28"/>
          <w:szCs w:val="28"/>
          <w:lang w:val="uk-UA"/>
        </w:rPr>
        <w:t>валидизации</w:t>
      </w:r>
      <w:r>
        <w:rPr>
          <w:rFonts w:ascii="Times New Roman CYR" w:hAnsi="Times New Roman CYR" w:cs="Times New Roman CYR"/>
          <w:sz w:val="28"/>
          <w:szCs w:val="28"/>
        </w:rPr>
        <w:t xml:space="preserve"> методики Б. Киллинжер [1, 2]. Для доказательства содержательной валидности нами был подсчитан коэффициент корреляции</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w:t>
      </w:r>
      <w:r>
        <w:rPr>
          <w:rFonts w:ascii="Times New Roman CYR" w:hAnsi="Times New Roman CYR" w:cs="Times New Roman CYR"/>
          <w:sz w:val="28"/>
          <w:szCs w:val="28"/>
        </w:rPr>
        <w:t>=0,022, что дает основание говорить о высокой содержательной валидности опросника.</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качестве доказательства критериальной валидности используется корелляция между опросником Киллинжера и другим тестом. Вторым тестом выступает метод экспертной оценки, пр</w:t>
      </w:r>
      <w:r>
        <w:rPr>
          <w:rFonts w:ascii="Times New Roman CYR" w:hAnsi="Times New Roman CYR" w:cs="Times New Roman CYR"/>
          <w:sz w:val="28"/>
          <w:szCs w:val="28"/>
        </w:rPr>
        <w:t xml:space="preserve">имененный нами для установления наличия/отсутствия трудогольной зависимости у испытуемых. Значение коэффициента корреляции по Кендаллу между данными методик составила </w:t>
      </w:r>
      <w:r>
        <w:rPr>
          <w:rFonts w:ascii="Times New Roman" w:hAnsi="Times New Roman" w:cs="Times New Roman"/>
          <w:sz w:val="28"/>
          <w:szCs w:val="28"/>
        </w:rPr>
        <w:t xml:space="preserve">τ=0,244, </w:t>
      </w:r>
      <w:r>
        <w:rPr>
          <w:rFonts w:ascii="Times New Roman CYR" w:hAnsi="Times New Roman CYR" w:cs="Times New Roman CYR"/>
          <w:sz w:val="28"/>
          <w:szCs w:val="28"/>
        </w:rPr>
        <w:t>р&lt;0,009. Исходя из этого, можно утверждать о достаточно высокой критериальной ва</w:t>
      </w:r>
      <w:r>
        <w:rPr>
          <w:rFonts w:ascii="Times New Roman CYR" w:hAnsi="Times New Roman CYR" w:cs="Times New Roman CYR"/>
          <w:sz w:val="28"/>
          <w:szCs w:val="28"/>
        </w:rPr>
        <w:t>лидности методики Киллинжер, что дает основания считать применение опросника Киллинжер обоснованным и стойким в рамках своего назначения относительно измеряемых свойств.</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Следующей задачей является оценка вклада каждого утверждения опросника Киллинжера в об</w:t>
      </w:r>
      <w:r>
        <w:rPr>
          <w:rFonts w:ascii="Times New Roman CYR" w:hAnsi="Times New Roman CYR" w:cs="Times New Roman CYR"/>
          <w:sz w:val="28"/>
          <w:szCs w:val="28"/>
        </w:rPr>
        <w:t>щую сумму баллов. Таким образом, определяя силу каждого утверждения можно увидеть слабые и сильные стороны предложенной методики, тем самым определить один из факторов ее эффективности. Для этого был проведен рoint аnalysis - определение дифференциальной с</w:t>
      </w:r>
      <w:r>
        <w:rPr>
          <w:rFonts w:ascii="Times New Roman CYR" w:hAnsi="Times New Roman CYR" w:cs="Times New Roman CYR"/>
          <w:sz w:val="28"/>
          <w:szCs w:val="28"/>
        </w:rPr>
        <w:t>илы каждого утверждения с использованием метода корреляции Кендалла, который установил значимые связи балла каждого утверждения с общим количеством набранных баллов по всему тесту (табл. 2).</w:t>
      </w:r>
    </w:p>
    <w:p w:rsidR="00000000" w:rsidRDefault="002A0403">
      <w:pPr>
        <w:widowControl w:val="0"/>
        <w:suppressAutoHyphens/>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работогольный зависимость психометрический адаптация</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Таблица 2. Д</w:t>
      </w:r>
      <w:r>
        <w:rPr>
          <w:rFonts w:ascii="Times New Roman CYR" w:hAnsi="Times New Roman CYR" w:cs="Times New Roman CYR"/>
          <w:sz w:val="28"/>
          <w:szCs w:val="28"/>
        </w:rPr>
        <w:t>ифференциальная сила утверждений опросника Б.Киллинжер</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30"/>
        <w:gridCol w:w="6344"/>
        <w:gridCol w:w="1120"/>
        <w:gridCol w:w="971"/>
        <w:gridCol w:w="21"/>
      </w:tblGrid>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Утверждение</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Kendall</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p</w:t>
            </w:r>
            <w:r>
              <w:rPr>
                <w:rFonts w:ascii="Times New Roman CYR" w:hAnsi="Times New Roman CYR" w:cs="Times New Roman CYR"/>
                <w:sz w:val="20"/>
                <w:szCs w:val="20"/>
              </w:rPr>
              <w:t>-</w:t>
            </w:r>
            <w:r>
              <w:rPr>
                <w:rFonts w:ascii="Times New Roman CYR" w:hAnsi="Times New Roman CYR" w:cs="Times New Roman CYR"/>
                <w:sz w:val="20"/>
                <w:szCs w:val="20"/>
                <w:lang w:val="en-US"/>
              </w:rPr>
              <w:t>level</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Важна ли для Вас Ваша работа?</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Нравится ли Вам делать вещи совершенно безукоризненно?</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0,86</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Свойственен ли Вам дуализм во взглядах, видите ли Вы всё </w:t>
            </w:r>
            <w:r>
              <w:rPr>
                <w:rFonts w:ascii="Times New Roman CYR" w:hAnsi="Times New Roman CYR" w:cs="Times New Roman CYR"/>
                <w:sz w:val="20"/>
                <w:szCs w:val="20"/>
              </w:rPr>
              <w:t>в чёрном или белом цвете без промежутков?</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Стремитесь ли Вы к конкуренции и важна ли для Вас победа в ней?</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Важно ли для Вас всегда быть правым?</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Критичны ли Вы к себе, осуждаете ли себя в случае совершения ошибки?</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Боитесь ли Вы всё время поражения?</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Беспокойны ли Вы, импульсивны ли?</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 ли Вам становится скучно?</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Загоняете ли Вы себя до истощения?</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0,35</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Возникают ли у Вас периодически состояния, во время кот</w:t>
            </w:r>
            <w:r>
              <w:rPr>
                <w:rFonts w:ascii="Times New Roman CYR" w:hAnsi="Times New Roman CYR" w:cs="Times New Roman CYR"/>
                <w:sz w:val="20"/>
                <w:szCs w:val="20"/>
              </w:rPr>
              <w:t>орых Вы чувствуете себя чрезвычайно усталым?</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0,37</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Появляется ли у Вас чувство вины при появлении у Вас дискомфорта?</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0,37</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Считаете ли Вы себя необычным или отличающимся от других?</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0,07</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0,29</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Читаете ли Вы постоянно материалы, связанны</w:t>
            </w:r>
            <w:r>
              <w:rPr>
                <w:rFonts w:ascii="Times New Roman CYR" w:hAnsi="Times New Roman CYR" w:cs="Times New Roman CYR"/>
                <w:sz w:val="20"/>
                <w:szCs w:val="20"/>
              </w:rPr>
              <w:t>е с работой, даже во время еды или просмотра телевизора?</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0,35</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Составляете ли Вы список того, что необходимо сделать, или ведёте дневник?</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Обнаруживаете ли Вы, что Вам становится всё труднее и труднее проводить свободное время в выход</w:t>
            </w:r>
            <w:r>
              <w:rPr>
                <w:rFonts w:ascii="Times New Roman CYR" w:hAnsi="Times New Roman CYR" w:cs="Times New Roman CYR"/>
                <w:sz w:val="20"/>
                <w:szCs w:val="20"/>
              </w:rPr>
              <w:t>ные, каникулы и во время отпуска?</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 ли вы чувствуете, что Вам не хватает времени, и Вы хотите, чтобы сутки продолжались больше 24 часов?</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Контактируете ли вы с работой во время отдыха?</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Относитесь ли Вы к работе</w:t>
            </w:r>
            <w:r>
              <w:rPr>
                <w:rFonts w:ascii="Times New Roman CYR" w:hAnsi="Times New Roman CYR" w:cs="Times New Roman CYR"/>
                <w:sz w:val="20"/>
                <w:szCs w:val="20"/>
              </w:rPr>
              <w:t xml:space="preserve"> как к игре и выходите из себя, если Вы играете плохо?</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Избегаете ли Вы думать о том, что Вы будете делать, когда Вы не будете работать?</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gridAfter w:val="1"/>
          <w:wAfter w:w="21" w:type="dxa"/>
        </w:trPr>
        <w:tc>
          <w:tcPr>
            <w:tcW w:w="455"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6344"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 ответственны на работе, но безответственны в делах личного характера.</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w:t>
            </w:r>
          </w:p>
        </w:tc>
        <w:tc>
          <w:tcPr>
            <w:tcW w:w="971"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6374"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Стар</w:t>
            </w:r>
            <w:r>
              <w:rPr>
                <w:rFonts w:ascii="Times New Roman CYR" w:hAnsi="Times New Roman CYR" w:cs="Times New Roman CYR"/>
                <w:sz w:val="20"/>
                <w:szCs w:val="20"/>
              </w:rPr>
              <w:t>аетесь ли Вы избежать конфликта вместо того, чтобы его разрешить?</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6374"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Характерны ли для Вас импульсивные действия, и Вы не обращаете внимание на то, как они повлияют на других людей?</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0,21</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374"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 боитесь критики, но сами любите осуждать и кр</w:t>
            </w:r>
            <w:r>
              <w:rPr>
                <w:rFonts w:ascii="Times New Roman CYR" w:hAnsi="Times New Roman CYR" w:cs="Times New Roman CYR"/>
                <w:sz w:val="20"/>
                <w:szCs w:val="20"/>
              </w:rPr>
              <w:t>итиковать.</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0,21</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374"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 заметили, что у Вас ухудшилась память на то, о чём Вам говорили другие.</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374"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Становитесь ли Вы «вне себя», если всё идёт не так, как Вы запланировали?</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6374"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Вас прерывают во время решения Вами производст</w:t>
            </w:r>
            <w:r>
              <w:rPr>
                <w:rFonts w:ascii="Times New Roman CYR" w:hAnsi="Times New Roman CYR" w:cs="Times New Roman CYR"/>
                <w:sz w:val="20"/>
                <w:szCs w:val="20"/>
              </w:rPr>
              <w:t>венных проблем в домашних условиях, вызывает ли это у Вас резкое раздражение?</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374"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Создаёте ли Вы безвыходные ситуации для себя и для других?</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374"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Сконцентрированы ли Вы на событиях будущего, вместо того, чтобы радоваться настоящему?</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r>
              <w:rPr>
                <w:rFonts w:ascii="Times New Roman CYR" w:hAnsi="Times New Roman CYR" w:cs="Times New Roman CYR"/>
                <w:sz w:val="20"/>
                <w:szCs w:val="20"/>
              </w:rPr>
              <w:t>4</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374"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забываете ли Вы и не преуменьшаете ли значение семейных событий и праздников?</w:t>
            </w:r>
          </w:p>
        </w:tc>
        <w:tc>
          <w:tcPr>
            <w:tcW w:w="1120"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bl>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Утверждения опросника Киллинжер под номерами 1, 3, 4, 5, 6, 7, 8, 9, 10, 11, 12, 14, 1 , 16, 17, 19, 20, 21, 22, 23, 24, 25, 26, 27, 28, 29, 30 имеют п</w:t>
      </w:r>
      <w:r>
        <w:rPr>
          <w:rFonts w:ascii="Times New Roman CYR" w:hAnsi="Times New Roman CYR" w:cs="Times New Roman CYR"/>
          <w:sz w:val="28"/>
          <w:szCs w:val="28"/>
        </w:rPr>
        <w:t>оложительную связь с результатами по методике и могут быть рекомендованы для использования в окончательном варианте опросника. Это свидетельствует о том, что данные утверждения вносят свой вклад в общий результат опросника, и являются максимально информати</w:t>
      </w:r>
      <w:r>
        <w:rPr>
          <w:rFonts w:ascii="Times New Roman CYR" w:hAnsi="Times New Roman CYR" w:cs="Times New Roman CYR"/>
          <w:sz w:val="28"/>
          <w:szCs w:val="28"/>
        </w:rPr>
        <w:t>вными для диагностики работогольной зависимости. Утверждения 1,2,13,18 не имеют значимой положительной связи с результатами по методике, что свидетельствует о том, что эти утверждения не являются информативными для диагностики трудогольной зависимости. Так</w:t>
      </w:r>
      <w:r>
        <w:rPr>
          <w:rFonts w:ascii="Times New Roman CYR" w:hAnsi="Times New Roman CYR" w:cs="Times New Roman CYR"/>
          <w:sz w:val="28"/>
          <w:szCs w:val="28"/>
        </w:rPr>
        <w:t>им образом утверждения 2, 13, 18 могут быть исключены из окончательного вариант опросника.</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Одной из поставленных задач исследования было определение надежности опросника Б.Киллинжер, для нахождения которой нами был использован коэффициент внутритестовой на</w:t>
      </w:r>
      <w:r>
        <w:rPr>
          <w:rFonts w:ascii="Times New Roman CYR" w:hAnsi="Times New Roman CYR" w:cs="Times New Roman CYR"/>
          <w:sz w:val="28"/>
          <w:szCs w:val="28"/>
        </w:rPr>
        <w:t>дежности, т.е. надежность эквивалентных частей теста. Опросник Б.Киллинжер включает 30 утверждений, нами был проведен подсчет показателей отдельно по четным и нечетным утверждениям. Полученные результаты (</w:t>
      </w:r>
      <w:r>
        <w:rPr>
          <w:rFonts w:ascii="Times New Roman" w:hAnsi="Times New Roman" w:cs="Times New Roman"/>
          <w:sz w:val="28"/>
          <w:szCs w:val="28"/>
        </w:rPr>
        <w:t xml:space="preserve">τ=0,187, </w:t>
      </w:r>
      <w:r>
        <w:rPr>
          <w:rFonts w:ascii="Times New Roman CYR" w:hAnsi="Times New Roman CYR" w:cs="Times New Roman CYR"/>
          <w:sz w:val="28"/>
          <w:szCs w:val="28"/>
        </w:rPr>
        <w:t>р&lt;0,0001) позволяют нам сделать вывод о вы</w:t>
      </w:r>
      <w:r>
        <w:rPr>
          <w:rFonts w:ascii="Times New Roman CYR" w:hAnsi="Times New Roman CYR" w:cs="Times New Roman CYR"/>
          <w:sz w:val="28"/>
          <w:szCs w:val="28"/>
        </w:rPr>
        <w:t>сокой внутритестовой надежности опросника по диагностике работоголизма.</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поставленной целью мы должны были адаптировать методику Б.Киллинжер к украинской выборке, для этого необходимо установить статистические нормы теста. Для установления </w:t>
      </w:r>
      <w:r>
        <w:rPr>
          <w:rFonts w:ascii="Times New Roman CYR" w:hAnsi="Times New Roman CYR" w:cs="Times New Roman CYR"/>
          <w:sz w:val="28"/>
          <w:szCs w:val="28"/>
        </w:rPr>
        <w:t>этих норм сырые баллы по опроснику были переведены в станайны (</w:t>
      </w:r>
      <w:r>
        <w:rPr>
          <w:rFonts w:ascii="Times New Roman CYR" w:hAnsi="Times New Roman CYR" w:cs="Times New Roman CYR"/>
          <w:sz w:val="28"/>
          <w:szCs w:val="28"/>
          <w:lang w:val="en-US"/>
        </w:rPr>
        <w:t>standart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nine</w:t>
      </w:r>
      <w:r>
        <w:rPr>
          <w:rFonts w:ascii="Times New Roman CYR" w:hAnsi="Times New Roman CYR" w:cs="Times New Roman CYR"/>
          <w:sz w:val="28"/>
          <w:szCs w:val="28"/>
        </w:rPr>
        <w:t>) - один из нормализированных стандартных показателей. Перевод в станайны был произведен в общей выборке (табл. 3), выборке трудоголиков (табл. 4), выборке нетрудоголиков (табл. 5)</w:t>
      </w:r>
      <w:r>
        <w:rPr>
          <w:rFonts w:ascii="Times New Roman CYR" w:hAnsi="Times New Roman CYR" w:cs="Times New Roman CYR"/>
          <w:sz w:val="28"/>
          <w:szCs w:val="28"/>
        </w:rPr>
        <w:t>.</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Таблица 3. Перевод сырых баллов в </w:t>
      </w:r>
      <w:r>
        <w:rPr>
          <w:rFonts w:ascii="Times New Roman CYR" w:hAnsi="Times New Roman CYR" w:cs="Times New Roman CYR"/>
          <w:sz w:val="28"/>
          <w:szCs w:val="28"/>
          <w:lang w:val="uk-UA"/>
        </w:rPr>
        <w:t>станайны, общая выборка</w:t>
      </w:r>
    </w:p>
    <w:tbl>
      <w:tblPr>
        <w:tblW w:w="0" w:type="auto"/>
        <w:tblInd w:w="250" w:type="dxa"/>
        <w:tblLayout w:type="fixed"/>
        <w:tblLook w:val="0000" w:firstRow="0" w:lastRow="0" w:firstColumn="0" w:lastColumn="0" w:noHBand="0" w:noVBand="0"/>
      </w:tblPr>
      <w:tblGrid>
        <w:gridCol w:w="1559"/>
        <w:gridCol w:w="849"/>
        <w:gridCol w:w="850"/>
        <w:gridCol w:w="711"/>
        <w:gridCol w:w="850"/>
        <w:gridCol w:w="850"/>
        <w:gridCol w:w="710"/>
        <w:gridCol w:w="850"/>
        <w:gridCol w:w="850"/>
        <w:gridCol w:w="710"/>
      </w:tblGrid>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трудоголизма</w:t>
            </w:r>
          </w:p>
        </w:tc>
        <w:tc>
          <w:tcPr>
            <w:tcW w:w="2410"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410"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410"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Станайны</w:t>
            </w:r>
          </w:p>
        </w:tc>
        <w:tc>
          <w:tcPr>
            <w:tcW w:w="849"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0"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1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0"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0"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10"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0"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0"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10"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1559" w:type="dxa"/>
            <w:tcBorders>
              <w:top w:val="single" w:sz="6" w:space="0" w:color="auto"/>
              <w:left w:val="single" w:sz="6" w:space="0" w:color="auto"/>
              <w:bottom w:val="nil"/>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849"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850"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71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9-10</w:t>
            </w:r>
          </w:p>
        </w:tc>
        <w:tc>
          <w:tcPr>
            <w:tcW w:w="850"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10-11</w:t>
            </w:r>
          </w:p>
        </w:tc>
        <w:tc>
          <w:tcPr>
            <w:tcW w:w="850"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12-14</w:t>
            </w:r>
          </w:p>
        </w:tc>
        <w:tc>
          <w:tcPr>
            <w:tcW w:w="710"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15-16</w:t>
            </w:r>
          </w:p>
        </w:tc>
        <w:tc>
          <w:tcPr>
            <w:tcW w:w="850"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17-18</w:t>
            </w:r>
          </w:p>
        </w:tc>
        <w:tc>
          <w:tcPr>
            <w:tcW w:w="850"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19-21</w:t>
            </w:r>
          </w:p>
        </w:tc>
        <w:tc>
          <w:tcPr>
            <w:tcW w:w="710"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22-24</w:t>
            </w: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p>
        </w:tc>
        <w:tc>
          <w:tcPr>
            <w:tcW w:w="2410"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3-10</w:t>
            </w:r>
          </w:p>
        </w:tc>
        <w:tc>
          <w:tcPr>
            <w:tcW w:w="2410"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10-16</w:t>
            </w:r>
          </w:p>
        </w:tc>
        <w:tc>
          <w:tcPr>
            <w:tcW w:w="2410"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17-24</w:t>
            </w:r>
          </w:p>
        </w:tc>
      </w:tr>
    </w:tbl>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Таблица 4. Перевод сырых баллов в </w:t>
      </w:r>
      <w:r>
        <w:rPr>
          <w:rFonts w:ascii="Times New Roman CYR" w:hAnsi="Times New Roman CYR" w:cs="Times New Roman CYR"/>
          <w:sz w:val="28"/>
          <w:szCs w:val="28"/>
          <w:lang w:val="uk-UA"/>
        </w:rPr>
        <w:t>станайны, вы</w:t>
      </w:r>
      <w:r>
        <w:rPr>
          <w:rFonts w:ascii="Times New Roman CYR" w:hAnsi="Times New Roman CYR" w:cs="Times New Roman CYR"/>
          <w:sz w:val="28"/>
          <w:szCs w:val="28"/>
          <w:lang w:val="uk-UA"/>
        </w:rPr>
        <w:t>борка трудоголиков</w:t>
      </w:r>
    </w:p>
    <w:tbl>
      <w:tblPr>
        <w:tblW w:w="0" w:type="auto"/>
        <w:tblInd w:w="250" w:type="dxa"/>
        <w:tblLayout w:type="fixed"/>
        <w:tblLook w:val="0000" w:firstRow="0" w:lastRow="0" w:firstColumn="0" w:lastColumn="0" w:noHBand="0" w:noVBand="0"/>
      </w:tblPr>
      <w:tblGrid>
        <w:gridCol w:w="2268"/>
        <w:gridCol w:w="547"/>
        <w:gridCol w:w="549"/>
        <w:gridCol w:w="549"/>
        <w:gridCol w:w="746"/>
        <w:gridCol w:w="871"/>
        <w:gridCol w:w="872"/>
        <w:gridCol w:w="871"/>
        <w:gridCol w:w="871"/>
        <w:gridCol w:w="651"/>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трудоголизма</w:t>
            </w:r>
          </w:p>
        </w:tc>
        <w:tc>
          <w:tcPr>
            <w:tcW w:w="1645"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489"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3"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Станайны</w:t>
            </w:r>
          </w:p>
        </w:tc>
        <w:tc>
          <w:tcPr>
            <w:tcW w:w="547"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49"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49"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46"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7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72"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7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7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5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547"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49"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49"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46"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87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12-14</w:t>
            </w:r>
          </w:p>
        </w:tc>
        <w:tc>
          <w:tcPr>
            <w:tcW w:w="872"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15-18</w:t>
            </w:r>
          </w:p>
        </w:tc>
        <w:tc>
          <w:tcPr>
            <w:tcW w:w="87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19-20</w:t>
            </w:r>
          </w:p>
        </w:tc>
        <w:tc>
          <w:tcPr>
            <w:tcW w:w="87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21-23</w:t>
            </w:r>
          </w:p>
        </w:tc>
        <w:tc>
          <w:tcPr>
            <w:tcW w:w="65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2268" w:type="dxa"/>
            <w:tcBorders>
              <w:top w:val="nil"/>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p>
        </w:tc>
        <w:tc>
          <w:tcPr>
            <w:tcW w:w="1645"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8-10</w:t>
            </w:r>
          </w:p>
        </w:tc>
        <w:tc>
          <w:tcPr>
            <w:tcW w:w="2489"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11-18</w:t>
            </w:r>
          </w:p>
        </w:tc>
        <w:tc>
          <w:tcPr>
            <w:tcW w:w="2393"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19-24</w:t>
            </w:r>
          </w:p>
        </w:tc>
      </w:tr>
    </w:tbl>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 xml:space="preserve">Таблица 5. Перевод сырых баллов в </w:t>
      </w:r>
      <w:r>
        <w:rPr>
          <w:rFonts w:ascii="Times New Roman CYR" w:hAnsi="Times New Roman CYR" w:cs="Times New Roman CYR"/>
          <w:sz w:val="28"/>
          <w:szCs w:val="28"/>
          <w:lang w:val="uk-UA"/>
        </w:rPr>
        <w:t>станайны, выборка нетрудоголиков</w:t>
      </w:r>
    </w:p>
    <w:tbl>
      <w:tblPr>
        <w:tblW w:w="0" w:type="auto"/>
        <w:tblInd w:w="250" w:type="dxa"/>
        <w:tblLayout w:type="fixed"/>
        <w:tblLook w:val="0000" w:firstRow="0" w:lastRow="0" w:firstColumn="0" w:lastColumn="0" w:noHBand="0" w:noVBand="0"/>
      </w:tblPr>
      <w:tblGrid>
        <w:gridCol w:w="2407"/>
        <w:gridCol w:w="661"/>
        <w:gridCol w:w="664"/>
        <w:gridCol w:w="666"/>
        <w:gridCol w:w="562"/>
        <w:gridCol w:w="776"/>
        <w:gridCol w:w="644"/>
        <w:gridCol w:w="776"/>
        <w:gridCol w:w="641"/>
        <w:gridCol w:w="766"/>
      </w:tblGrid>
      <w:tr w:rsidR="00000000">
        <w:tblPrEx>
          <w:tblCellMar>
            <w:top w:w="0" w:type="dxa"/>
            <w:bottom w:w="0" w:type="dxa"/>
          </w:tblCellMar>
        </w:tblPrEx>
        <w:tc>
          <w:tcPr>
            <w:tcW w:w="2407"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нетрудоголизма</w:t>
            </w:r>
          </w:p>
        </w:tc>
        <w:tc>
          <w:tcPr>
            <w:tcW w:w="1991"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982"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r>
              <w:rPr>
                <w:rFonts w:ascii="Times New Roman CYR" w:hAnsi="Times New Roman CYR" w:cs="Times New Roman CYR"/>
                <w:sz w:val="20"/>
                <w:szCs w:val="20"/>
              </w:rPr>
              <w:t>едний</w:t>
            </w:r>
          </w:p>
        </w:tc>
        <w:tc>
          <w:tcPr>
            <w:tcW w:w="2183"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407" w:type="dxa"/>
            <w:tcBorders>
              <w:top w:val="single" w:sz="6" w:space="0" w:color="auto"/>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Станайны</w:t>
            </w:r>
          </w:p>
        </w:tc>
        <w:tc>
          <w:tcPr>
            <w:tcW w:w="66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64"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6"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2"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76"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44"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76"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4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66"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2407" w:type="dxa"/>
            <w:tcBorders>
              <w:top w:val="single" w:sz="6" w:space="0" w:color="auto"/>
              <w:left w:val="single" w:sz="6" w:space="0" w:color="auto"/>
              <w:bottom w:val="nil"/>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66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664"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6"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562"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76"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10-13</w:t>
            </w:r>
          </w:p>
        </w:tc>
        <w:tc>
          <w:tcPr>
            <w:tcW w:w="644"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76"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15-16</w:t>
            </w:r>
          </w:p>
        </w:tc>
        <w:tc>
          <w:tcPr>
            <w:tcW w:w="641"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766" w:type="dxa"/>
            <w:tcBorders>
              <w:top w:val="nil"/>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18-21</w:t>
            </w:r>
          </w:p>
        </w:tc>
      </w:tr>
      <w:tr w:rsidR="00000000">
        <w:tblPrEx>
          <w:tblCellMar>
            <w:top w:w="0" w:type="dxa"/>
            <w:bottom w:w="0" w:type="dxa"/>
          </w:tblCellMar>
        </w:tblPrEx>
        <w:tc>
          <w:tcPr>
            <w:tcW w:w="2407" w:type="dxa"/>
            <w:tcBorders>
              <w:top w:val="nil"/>
              <w:left w:val="single" w:sz="6" w:space="0" w:color="auto"/>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p>
        </w:tc>
        <w:tc>
          <w:tcPr>
            <w:tcW w:w="1991"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982"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9-14</w:t>
            </w:r>
          </w:p>
        </w:tc>
        <w:tc>
          <w:tcPr>
            <w:tcW w:w="2183" w:type="dxa"/>
            <w:gridSpan w:val="3"/>
            <w:tcBorders>
              <w:top w:val="single" w:sz="6" w:space="0" w:color="auto"/>
              <w:left w:val="nil"/>
              <w:bottom w:val="single" w:sz="6" w:space="0" w:color="auto"/>
              <w:right w:val="single" w:sz="6" w:space="0" w:color="auto"/>
            </w:tcBorders>
          </w:tcPr>
          <w:p w:rsidR="00000000" w:rsidRDefault="002A040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15-21</w:t>
            </w:r>
          </w:p>
        </w:tc>
      </w:tr>
    </w:tbl>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Также для выборок трудоголиков и нетрудоголиков были построены графики, отражающие распределение сырых баллов опросника в каждой группе (рис.1).</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E13B2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95850" cy="2667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5850" cy="2667000"/>
                    </a:xfrm>
                    <a:prstGeom prst="rect">
                      <a:avLst/>
                    </a:prstGeom>
                    <a:noFill/>
                    <a:ln>
                      <a:noFill/>
                    </a:ln>
                  </pic:spPr>
                </pic:pic>
              </a:graphicData>
            </a:graphic>
          </wp:inline>
        </w:drawing>
      </w:r>
    </w:p>
    <w:p w:rsidR="00000000" w:rsidRDefault="002A0403">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Рисунок 1. Распределение сырых баллов в группах трудоголиков и нетрудоголиков.</w:t>
      </w:r>
    </w:p>
    <w:p w:rsidR="00000000" w:rsidRDefault="002A0403">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000000" w:rsidRDefault="002A0403">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Из рисунка 1 видно, что зона перекрытия 2 выборок находится в диапазоне 6 - 21 балл.</w:t>
      </w:r>
    </w:p>
    <w:p w:rsidR="00000000" w:rsidRDefault="002A0403">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Из полученных результатов можно сделать вывод, что личн</w:t>
      </w:r>
      <w:r>
        <w:rPr>
          <w:rFonts w:ascii="Times New Roman CYR" w:hAnsi="Times New Roman CYR" w:cs="Times New Roman CYR"/>
          <w:sz w:val="28"/>
          <w:szCs w:val="28"/>
        </w:rPr>
        <w:t>остями с ярко выраженным синдромом работогольной аддикции можно считать людей, чья сумма баллов от 21 и выше. Об отсутствии работогольной зависимости можно говорить при сумме баллов от 1 до 6. Преследуя цель уточнения границ между работоголиками и неработо</w:t>
      </w:r>
      <w:r>
        <w:rPr>
          <w:rFonts w:ascii="Times New Roman CYR" w:hAnsi="Times New Roman CYR" w:cs="Times New Roman CYR"/>
          <w:sz w:val="28"/>
          <w:szCs w:val="28"/>
        </w:rPr>
        <w:t xml:space="preserve">голиками мы провели процедуру вычисления информционной меры </w:t>
      </w:r>
      <w:r>
        <w:rPr>
          <w:rFonts w:ascii="Times New Roman CYR" w:hAnsi="Times New Roman CYR" w:cs="Times New Roman CYR"/>
          <w:sz w:val="28"/>
          <w:szCs w:val="28"/>
          <w:lang w:val="en-US"/>
        </w:rPr>
        <w:t>j</w:t>
      </w:r>
      <w:r>
        <w:rPr>
          <w:rFonts w:ascii="Times New Roman CYR" w:hAnsi="Times New Roman CYR" w:cs="Times New Roman CYR"/>
          <w:sz w:val="28"/>
          <w:szCs w:val="28"/>
        </w:rPr>
        <w:t xml:space="preserve"> Кульбака (пороговый диагностический коэффициент), что позволило нам определить количество баллов при котором можно диагностировать наличие трудоголизма. Таких значений в нашей выборке оказалось </w:t>
      </w:r>
      <w:r>
        <w:rPr>
          <w:rFonts w:ascii="Times New Roman CYR" w:hAnsi="Times New Roman CYR" w:cs="Times New Roman CYR"/>
          <w:sz w:val="28"/>
          <w:szCs w:val="28"/>
        </w:rPr>
        <w:t>два: 10 баллов-</w:t>
      </w:r>
      <w:r>
        <w:rPr>
          <w:rFonts w:ascii="Times New Roman CYR" w:hAnsi="Times New Roman CYR" w:cs="Times New Roman CYR"/>
          <w:sz w:val="28"/>
          <w:szCs w:val="28"/>
          <w:lang w:val="en-US"/>
        </w:rPr>
        <w:t>j</w:t>
      </w:r>
      <w:r>
        <w:rPr>
          <w:rFonts w:ascii="Times New Roman CYR" w:hAnsi="Times New Roman CYR" w:cs="Times New Roman CYR"/>
          <w:sz w:val="28"/>
          <w:szCs w:val="28"/>
        </w:rPr>
        <w:t xml:space="preserve"> = 0,3522; 19 баллов-</w:t>
      </w:r>
      <w:r>
        <w:rPr>
          <w:rFonts w:ascii="Times New Roman CYR" w:hAnsi="Times New Roman CYR" w:cs="Times New Roman CYR"/>
          <w:sz w:val="28"/>
          <w:szCs w:val="28"/>
          <w:lang w:val="en-US"/>
        </w:rPr>
        <w:t>j</w:t>
      </w:r>
      <w:r>
        <w:rPr>
          <w:rFonts w:ascii="Times New Roman" w:hAnsi="Times New Roman" w:cs="Times New Roman"/>
          <w:sz w:val="28"/>
          <w:szCs w:val="28"/>
        </w:rPr>
        <w:t>= 0,1817; Σ</w:t>
      </w:r>
      <w:r>
        <w:rPr>
          <w:rFonts w:ascii="Times New Roman CYR" w:hAnsi="Times New Roman CYR" w:cs="Times New Roman CYR"/>
          <w:sz w:val="28"/>
          <w:szCs w:val="28"/>
          <w:lang w:val="en-US"/>
        </w:rPr>
        <w:t>j</w:t>
      </w:r>
      <w:r>
        <w:rPr>
          <w:rFonts w:ascii="Times New Roman CYR" w:hAnsi="Times New Roman CYR" w:cs="Times New Roman CYR"/>
          <w:sz w:val="28"/>
          <w:szCs w:val="28"/>
        </w:rPr>
        <w:t>=4,46. Отсутствие работогольной зависиости диагностируется у людей, набравших до 10 баллов по опроснику, о слабопроявляющемся работогольном синдроме - 11-18 баллов, ярко выраженном работоголизме - от 19 бал</w:t>
      </w:r>
      <w:r>
        <w:rPr>
          <w:rFonts w:ascii="Times New Roman CYR" w:hAnsi="Times New Roman CYR" w:cs="Times New Roman CYR"/>
          <w:sz w:val="28"/>
          <w:szCs w:val="28"/>
        </w:rPr>
        <w:t>лов.</w:t>
      </w:r>
    </w:p>
    <w:p w:rsidR="00000000" w:rsidRDefault="002A0403">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000000" w:rsidRDefault="002A0403">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rsidR="00000000" w:rsidRDefault="002A0403">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000000" w:rsidRDefault="002A0403">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В результате выполнения работы была проведена адаптация методики диагностики работогольной зависимости Б.Киллинжер к украинской популяции и создан психометрический паспорт методики.</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Критериальная валидность методики находится на высоком у</w:t>
      </w:r>
      <w:r>
        <w:rPr>
          <w:rFonts w:ascii="Times New Roman CYR" w:hAnsi="Times New Roman CYR" w:cs="Times New Roman CYR"/>
          <w:sz w:val="28"/>
          <w:szCs w:val="28"/>
        </w:rPr>
        <w:t xml:space="preserve">ровне и составляет: </w:t>
      </w:r>
      <w:r>
        <w:rPr>
          <w:rFonts w:ascii="Times New Roman" w:hAnsi="Times New Roman" w:cs="Times New Roman"/>
          <w:sz w:val="28"/>
          <w:szCs w:val="28"/>
        </w:rPr>
        <w:t xml:space="preserve">τ=0,114, </w:t>
      </w:r>
      <w:r>
        <w:rPr>
          <w:rFonts w:ascii="Times New Roman CYR" w:hAnsi="Times New Roman CYR" w:cs="Times New Roman CYR"/>
          <w:sz w:val="28"/>
          <w:szCs w:val="28"/>
        </w:rPr>
        <w:t>р&lt;0,0132, что дает основание полагать применение методики обоснованным в рамках диагностики работогольной зависимости. Исходя из результатов полученных нами в ходе работы (</w:t>
      </w:r>
      <w:r>
        <w:rPr>
          <w:rFonts w:ascii="Times New Roman CYR" w:hAnsi="Times New Roman CYR" w:cs="Times New Roman CYR"/>
          <w:sz w:val="28"/>
          <w:szCs w:val="28"/>
          <w:lang w:val="en-US"/>
        </w:rPr>
        <w:t>R</w:t>
      </w:r>
      <w:r>
        <w:rPr>
          <w:rFonts w:ascii="Times New Roman CYR" w:hAnsi="Times New Roman CYR" w:cs="Times New Roman CYR"/>
          <w:sz w:val="28"/>
          <w:szCs w:val="28"/>
        </w:rPr>
        <w:t>= 0,022) можно говорить о высокой содержательной валид</w:t>
      </w:r>
      <w:r>
        <w:rPr>
          <w:rFonts w:ascii="Times New Roman CYR" w:hAnsi="Times New Roman CYR" w:cs="Times New Roman CYR"/>
          <w:sz w:val="28"/>
          <w:szCs w:val="28"/>
        </w:rPr>
        <w:t>ности опросника.</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Утверждения под номерами 1, 3, 4, 5, 6, 7, 8, 9, 10, 11, 12, 14, 15, 16, 17, 19, 20, 21, 22, 23, 24, 25, 26, 27, 28, 29, 30 по своей дифференциальной силе могут быть рекомендованы для включения в окончательный вариант опросника.</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Опросн</w:t>
      </w:r>
      <w:r>
        <w:rPr>
          <w:rFonts w:ascii="Times New Roman CYR" w:hAnsi="Times New Roman CYR" w:cs="Times New Roman CYR"/>
          <w:sz w:val="28"/>
          <w:szCs w:val="28"/>
        </w:rPr>
        <w:t>ик обладает высокой внутритестовой надежностью, что дает основание считать его применение обоснованным в рамках диагностики трудоголизма.</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результате проведения процедуры нормализации опросника были установлены нормы, определяющие уровень работоголизма </w:t>
      </w:r>
      <w:r>
        <w:rPr>
          <w:rFonts w:ascii="Times New Roman CYR" w:hAnsi="Times New Roman CYR" w:cs="Times New Roman CYR"/>
          <w:sz w:val="28"/>
          <w:szCs w:val="28"/>
        </w:rPr>
        <w:t>для украинской популяции:</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-10 баллов - отсутствие трудогольной зависимости;</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-18 баллов - низкий уровень трудоголизма;</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-30 баллов - ярко выраженная трудогольная зависимость.</w:t>
      </w: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2A0403">
      <w:pPr>
        <w:widowControl w:val="0"/>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t>Литкратура</w:t>
      </w:r>
    </w:p>
    <w:p w:rsidR="00000000" w:rsidRDefault="002A040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2A040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Анастази А. Психологическое тестирование.- СПб.: Питер, 2003.- 688</w:t>
      </w:r>
      <w:r>
        <w:rPr>
          <w:rFonts w:ascii="Times New Roman CYR" w:hAnsi="Times New Roman CYR" w:cs="Times New Roman CYR"/>
          <w:sz w:val="28"/>
          <w:szCs w:val="28"/>
        </w:rPr>
        <w:t xml:space="preserve"> с.</w:t>
      </w:r>
    </w:p>
    <w:p w:rsidR="00000000" w:rsidRDefault="002A040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Бурлачук Л.Ф. Психодиагностика. - СПб.: Питер, 2006. - 351с.</w:t>
      </w:r>
    </w:p>
    <w:p w:rsidR="00000000" w:rsidRDefault="002A040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Гоголева А.В. Аддитктивное поведение и его профилактика. - М.: Изд-во Моск.псих.-соц. ин-та, Воронеж: Изд-во НПО МОДЭК. - 2002. - 240с.</w:t>
      </w:r>
    </w:p>
    <w:p w:rsidR="00000000" w:rsidRDefault="002A040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Короленко Ц.П. Работоголизм - респектабельная фо</w:t>
      </w:r>
      <w:r>
        <w:rPr>
          <w:rFonts w:ascii="Times New Roman CYR" w:hAnsi="Times New Roman CYR" w:cs="Times New Roman CYR"/>
          <w:sz w:val="28"/>
          <w:szCs w:val="28"/>
        </w:rPr>
        <w:t>рма аддиктивного поведения// Обозрение психиатрии и медицинской психологии. - 1993. - № 1. - С. 17-29.</w:t>
      </w:r>
    </w:p>
    <w:p w:rsidR="00000000" w:rsidRDefault="002A040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Короленко Ц.П.Социадинамическая психиатрия. - М.: Академический проект. - 2000. - 460с.</w:t>
      </w:r>
    </w:p>
    <w:p w:rsidR="00000000" w:rsidRDefault="002A040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Наркология и аддиктология. Сб. науч. тр./ Под. ред. проф. В.Д</w:t>
      </w:r>
      <w:r>
        <w:rPr>
          <w:rFonts w:ascii="Times New Roman CYR" w:hAnsi="Times New Roman CYR" w:cs="Times New Roman CYR"/>
          <w:sz w:val="28"/>
          <w:szCs w:val="28"/>
        </w:rPr>
        <w:t>. Менделевича. - Казань: Школа. - 2004. - 291с.</w:t>
      </w:r>
    </w:p>
    <w:p w:rsidR="00000000" w:rsidRDefault="002A040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Международная классификация болезней (10-й пересмотр). Классификация психических и поведенческих расстройств. Клинические описания и указания по диагностике / Пер. на русск. яз. Под ред. Ю.Л. Нуллера, С.Ю. </w:t>
      </w:r>
      <w:r>
        <w:rPr>
          <w:rFonts w:ascii="Times New Roman CYR" w:hAnsi="Times New Roman CYR" w:cs="Times New Roman CYR"/>
          <w:sz w:val="28"/>
          <w:szCs w:val="28"/>
        </w:rPr>
        <w:t>Циркина. - СПб, Адис. -1994. - 302 с.</w:t>
      </w:r>
    </w:p>
    <w:p w:rsidR="00000000" w:rsidRDefault="002A040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Менделевич В.Д. Расстройства зависимого поведения (к постановке проблемы)//Российский психиатрический журнал. - 2003. - №1. - С.5-9.</w:t>
      </w:r>
    </w:p>
    <w:p w:rsidR="00000000" w:rsidRDefault="002A040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Менделевич В.Д., Садыкова Р.Г. Зависимость как психологический и психопатологич</w:t>
      </w:r>
      <w:r>
        <w:rPr>
          <w:rFonts w:ascii="Times New Roman CYR" w:hAnsi="Times New Roman CYR" w:cs="Times New Roman CYR"/>
          <w:sz w:val="28"/>
          <w:szCs w:val="28"/>
        </w:rPr>
        <w:t>еский феномен (проблемы диагностики и дифференциации)// Вестник клинической психологии. - 2003. - Т. 1. - № 2. - С. 153-158.</w:t>
      </w:r>
    </w:p>
    <w:p w:rsidR="002A0403" w:rsidRDefault="002A040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Сидоренко Е.В. Методы математической обработки в психологии.- СПб.: ООО «Речь», 2001.-350 с.</w:t>
      </w:r>
    </w:p>
    <w:sectPr w:rsidR="002A040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F2BE3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B24"/>
    <w:rsid w:val="002A0403"/>
    <w:rsid w:val="00E13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2432</Words>
  <Characters>13867</Characters>
  <Application>Microsoft Office Word</Application>
  <DocSecurity>0</DocSecurity>
  <Lines>115</Lines>
  <Paragraphs>32</Paragraphs>
  <ScaleCrop>false</ScaleCrop>
  <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2024-07-29T18:59:00Z</dcterms:created>
  <dcterms:modified xsi:type="dcterms:W3CDTF">2024-07-29T18:59:00Z</dcterms:modified>
</cp:coreProperties>
</file>