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315B">
      <w:pPr>
        <w:jc w:val="both"/>
        <w:rPr>
          <w:sz w:val="16"/>
        </w:rPr>
      </w:pPr>
      <w:bookmarkStart w:id="0" w:name="_GoBack"/>
      <w:bookmarkEnd w:id="0"/>
      <w:r>
        <w:rPr>
          <w:sz w:val="16"/>
        </w:rPr>
        <w:t>Тема лекции Рак пищевода.</w:t>
      </w:r>
    </w:p>
    <w:p w:rsidR="00000000" w:rsidRDefault="00F3315B">
      <w:pPr>
        <w:jc w:val="both"/>
        <w:rPr>
          <w:sz w:val="16"/>
        </w:rPr>
      </w:pPr>
    </w:p>
    <w:p w:rsidR="00000000" w:rsidRDefault="00F3315B">
      <w:pPr>
        <w:pStyle w:val="a4"/>
        <w:jc w:val="both"/>
      </w:pPr>
      <w:r>
        <w:t>Эпидемиология.</w:t>
      </w:r>
    </w:p>
    <w:p w:rsidR="00000000" w:rsidRDefault="00F3315B">
      <w:pPr>
        <w:jc w:val="both"/>
        <w:rPr>
          <w:sz w:val="16"/>
        </w:rPr>
      </w:pPr>
    </w:p>
    <w:p w:rsidR="00000000" w:rsidRPr="00BF3409" w:rsidRDefault="00F3315B">
      <w:pPr>
        <w:pStyle w:val="a3"/>
        <w:jc w:val="both"/>
      </w:pPr>
      <w:r>
        <w:t xml:space="preserve"> Сос</w:t>
      </w:r>
      <w:r>
        <w:t xml:space="preserve">тавляет 5% от всех опухолей желудочно-кишечного тракта. Заболеваемость составляет примерно 3.5% на 100 тысяч населения. Встречается чаще у мужчин (3:1) чем у женщин и негроидной </w:t>
      </w:r>
      <w:proofErr w:type="spellStart"/>
      <w:r>
        <w:t>рассы</w:t>
      </w:r>
      <w:proofErr w:type="spellEnd"/>
      <w:r>
        <w:t xml:space="preserve"> (3.5 :1). Наиболее высокие уровни заболеваемости отмечаются в Китае, Япо</w:t>
      </w:r>
      <w:r>
        <w:t>нии, Финляндии, Иране.</w:t>
      </w:r>
    </w:p>
    <w:p w:rsidR="00000000" w:rsidRPr="00BF3409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Этиология.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  <w:r>
        <w:t>Этиология до конца не изучена, однако существует ряд факторов риска: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 xml:space="preserve">Синдром </w:t>
      </w:r>
      <w:hyperlink w:anchor="Пламмер" w:history="1">
        <w:proofErr w:type="spellStart"/>
        <w:r>
          <w:rPr>
            <w:rStyle w:val="a5"/>
          </w:rPr>
          <w:t>Плам</w:t>
        </w:r>
        <w:bookmarkStart w:id="1" w:name="_Hlt330195325"/>
        <w:r>
          <w:rPr>
            <w:rStyle w:val="a5"/>
          </w:rPr>
          <w:t>м</w:t>
        </w:r>
        <w:bookmarkEnd w:id="1"/>
        <w:r>
          <w:rPr>
            <w:rStyle w:val="a5"/>
          </w:rPr>
          <w:t>ера-Вин</w:t>
        </w:r>
        <w:bookmarkStart w:id="2" w:name="_Hlt330188780"/>
        <w:r>
          <w:rPr>
            <w:rStyle w:val="a5"/>
          </w:rPr>
          <w:t>с</w:t>
        </w:r>
        <w:bookmarkEnd w:id="2"/>
        <w:r>
          <w:rPr>
            <w:rStyle w:val="a5"/>
          </w:rPr>
          <w:t>она</w:t>
        </w:r>
        <w:proofErr w:type="spellEnd"/>
        <w:r>
          <w:rPr>
            <w:rStyle w:val="a5"/>
          </w:rPr>
          <w:t xml:space="preserve"> (</w:t>
        </w:r>
        <w:proofErr w:type="spellStart"/>
        <w:r>
          <w:rPr>
            <w:rStyle w:val="a5"/>
          </w:rPr>
          <w:t>Plummer-Vinson</w:t>
        </w:r>
        <w:proofErr w:type="spellEnd"/>
      </w:hyperlink>
      <w:r w:rsidRPr="00BF3409">
        <w:t>)</w:t>
      </w:r>
      <w:r>
        <w:t xml:space="preserve"> у женщин, который включает симптомы: </w:t>
      </w:r>
      <w:proofErr w:type="spellStart"/>
      <w:r>
        <w:t>сидеропеническая</w:t>
      </w:r>
      <w:proofErr w:type="spellEnd"/>
      <w:r>
        <w:t xml:space="preserve"> анемия, глоссит, эзофагит.</w:t>
      </w:r>
      <w:r>
        <w:t xml:space="preserve"> При этом синдроме частота возникновения рака пищевода примерно 10%. Синдром чаще встречается в Швеции.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>Постоянное употребление горячей пищи и напитков (кипяток).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>Употребление алкоголя и табака являются независимыми факторами риска, однако, в сочетании уве</w:t>
      </w:r>
      <w:r>
        <w:t>личивают риск.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>Стриктуры пищевода, обусловленные ожогом щелочью, кислотой, горячей жидкостью.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 xml:space="preserve">Длительно существующая </w:t>
      </w:r>
      <w:hyperlink w:anchor="Ахалазия" w:history="1">
        <w:proofErr w:type="spellStart"/>
        <w:r>
          <w:rPr>
            <w:rStyle w:val="a5"/>
          </w:rPr>
          <w:t>ах</w:t>
        </w:r>
        <w:bookmarkStart w:id="3" w:name="_Hlt330189178"/>
        <w:r>
          <w:rPr>
            <w:rStyle w:val="a5"/>
          </w:rPr>
          <w:t>а</w:t>
        </w:r>
        <w:bookmarkStart w:id="4" w:name="_Hlt330189675"/>
        <w:bookmarkEnd w:id="3"/>
        <w:r>
          <w:rPr>
            <w:rStyle w:val="a5"/>
          </w:rPr>
          <w:t>л</w:t>
        </w:r>
        <w:bookmarkEnd w:id="4"/>
        <w:r>
          <w:rPr>
            <w:rStyle w:val="a5"/>
          </w:rPr>
          <w:t>а</w:t>
        </w:r>
        <w:bookmarkStart w:id="5" w:name="_Hlt330195334"/>
        <w:r>
          <w:rPr>
            <w:rStyle w:val="a5"/>
          </w:rPr>
          <w:t>з</w:t>
        </w:r>
        <w:bookmarkEnd w:id="5"/>
        <w:r>
          <w:rPr>
            <w:rStyle w:val="a5"/>
          </w:rPr>
          <w:t>ия</w:t>
        </w:r>
        <w:proofErr w:type="spellEnd"/>
      </w:hyperlink>
      <w:r>
        <w:t xml:space="preserve"> пищевода (риск возникновения рака пищевода -5%). Лечение </w:t>
      </w:r>
      <w:proofErr w:type="spellStart"/>
      <w:r>
        <w:t>ахалазии</w:t>
      </w:r>
      <w:proofErr w:type="spellEnd"/>
      <w:r>
        <w:t xml:space="preserve"> путем </w:t>
      </w:r>
      <w:proofErr w:type="spellStart"/>
      <w:r>
        <w:t>миотомии</w:t>
      </w:r>
      <w:proofErr w:type="spellEnd"/>
      <w:r>
        <w:t xml:space="preserve"> не снижает риск заб</w:t>
      </w:r>
      <w:r>
        <w:t>олевания.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>У пациентов с аутосомно-</w:t>
      </w:r>
      <w:proofErr w:type="spellStart"/>
      <w:r>
        <w:t>доминатным</w:t>
      </w:r>
      <w:proofErr w:type="spellEnd"/>
      <w:r>
        <w:t xml:space="preserve"> заболеванием, характеризующемся гиперкератозом ладоней и стоп риск развития рака пищевода составляет 37%. Развивается как правило, плоскоклеточный рак.</w:t>
      </w:r>
    </w:p>
    <w:p w:rsidR="00000000" w:rsidRDefault="00F3315B">
      <w:pPr>
        <w:pStyle w:val="a3"/>
        <w:numPr>
          <w:ilvl w:val="0"/>
          <w:numId w:val="1"/>
        </w:numPr>
        <w:jc w:val="both"/>
      </w:pPr>
      <w:r>
        <w:t xml:space="preserve">Пищевода </w:t>
      </w:r>
      <w:proofErr w:type="spellStart"/>
      <w:r>
        <w:t>Баррета</w:t>
      </w:r>
      <w:proofErr w:type="spellEnd"/>
      <w:r>
        <w:t xml:space="preserve"> (</w:t>
      </w:r>
      <w:r>
        <w:rPr>
          <w:lang w:val="en-US"/>
        </w:rPr>
        <w:t>Barrett</w:t>
      </w:r>
      <w:r w:rsidRPr="00BF3409">
        <w:t>'</w:t>
      </w:r>
      <w:r>
        <w:rPr>
          <w:lang w:val="en-US"/>
        </w:rPr>
        <w:t>s</w:t>
      </w:r>
      <w:r w:rsidRPr="00BF3409">
        <w:t xml:space="preserve"> </w:t>
      </w:r>
      <w:r>
        <w:rPr>
          <w:lang w:val="en-US"/>
        </w:rPr>
        <w:t>esophagus</w:t>
      </w:r>
      <w:r w:rsidRPr="00BF3409">
        <w:t>)</w:t>
      </w:r>
      <w:r>
        <w:t xml:space="preserve"> - состояние при кото</w:t>
      </w:r>
      <w:r>
        <w:t xml:space="preserve">ром желудочный эпителий (однослойный, однорядный, цилиндрический) находится более чем на 3 см выше </w:t>
      </w:r>
      <w:proofErr w:type="spellStart"/>
      <w:r>
        <w:t>кардии</w:t>
      </w:r>
      <w:proofErr w:type="spellEnd"/>
      <w:r>
        <w:t>, в дистальном отделе пищевода. Риск возникновения рака пищевода у таких пациентов примерно в 30 раз выше чем в популяции.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Классификация.</w:t>
      </w:r>
    </w:p>
    <w:p w:rsidR="00000000" w:rsidRDefault="00F3315B">
      <w:pPr>
        <w:pStyle w:val="a4"/>
        <w:jc w:val="both"/>
      </w:pPr>
    </w:p>
    <w:p w:rsidR="00000000" w:rsidRDefault="00F3315B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>
        <w:t>Наиболее ча</w:t>
      </w:r>
      <w:r>
        <w:t xml:space="preserve">сто </w:t>
      </w:r>
      <w:proofErr w:type="spellStart"/>
      <w:r>
        <w:t>встречающающаяся</w:t>
      </w:r>
      <w:proofErr w:type="spellEnd"/>
      <w:r>
        <w:t xml:space="preserve"> форма - плоскоклеточный рак (60%). Примерно 15% встречается в шейном отделе, 45% - в среднем, и 40% - в нижнем отделе.</w:t>
      </w:r>
    </w:p>
    <w:p w:rsidR="00000000" w:rsidRDefault="00F3315B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>
        <w:t xml:space="preserve">На втором месте по частоте находится аденокарцинома, чаще всего развивающаяся у пациентов с </w:t>
      </w:r>
      <w:proofErr w:type="spellStart"/>
      <w:r>
        <w:t>пищеводоа</w:t>
      </w:r>
      <w:proofErr w:type="spellEnd"/>
      <w:r>
        <w:t xml:space="preserve"> </w:t>
      </w:r>
      <w:proofErr w:type="spellStart"/>
      <w:r>
        <w:t>Баррета</w:t>
      </w:r>
      <w:proofErr w:type="spellEnd"/>
      <w:r>
        <w:t xml:space="preserve"> (40%).</w:t>
      </w:r>
    </w:p>
    <w:p w:rsidR="00000000" w:rsidRDefault="00F3315B">
      <w:pPr>
        <w:pStyle w:val="a3"/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</w:pPr>
      <w:r>
        <w:t xml:space="preserve">Редкие опухоли пищевода - мукоэпидермоидная карцинома и </w:t>
      </w:r>
      <w:proofErr w:type="spellStart"/>
      <w:r>
        <w:t>аденокистозная</w:t>
      </w:r>
      <w:proofErr w:type="spellEnd"/>
      <w:r>
        <w:t xml:space="preserve"> карцинома.</w:t>
      </w:r>
    </w:p>
    <w:p w:rsidR="00000000" w:rsidRDefault="00F3315B">
      <w:pPr>
        <w:pStyle w:val="a3"/>
        <w:jc w:val="both"/>
      </w:pPr>
    </w:p>
    <w:p w:rsidR="00000000" w:rsidRPr="00BF3409" w:rsidRDefault="00F3315B">
      <w:pPr>
        <w:pStyle w:val="a4"/>
        <w:jc w:val="both"/>
      </w:pPr>
      <w:r>
        <w:t xml:space="preserve">Клиническая классификация и классификация </w:t>
      </w:r>
      <w:r>
        <w:rPr>
          <w:lang w:val="en-US"/>
        </w:rPr>
        <w:t>TNM</w:t>
      </w:r>
      <w:r w:rsidRPr="00BF3409">
        <w:t>.</w:t>
      </w:r>
    </w:p>
    <w:p w:rsidR="00000000" w:rsidRPr="00BF3409" w:rsidRDefault="00F3315B">
      <w:pPr>
        <w:pStyle w:val="a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322"/>
        <w:gridCol w:w="661"/>
        <w:gridCol w:w="661"/>
        <w:gridCol w:w="1323"/>
        <w:gridCol w:w="994"/>
        <w:gridCol w:w="39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6" w:type="dxa"/>
            <w:gridSpan w:val="5"/>
          </w:tcPr>
          <w:p w:rsidR="00000000" w:rsidRDefault="00F3315B">
            <w:pPr>
              <w:pStyle w:val="a3"/>
              <w:jc w:val="both"/>
            </w:pPr>
            <w:r>
              <w:rPr>
                <w:lang w:val="en-US"/>
              </w:rPr>
              <w:t>TNM</w:t>
            </w:r>
            <w:r>
              <w:t xml:space="preserve"> классификация</w:t>
            </w:r>
          </w:p>
        </w:tc>
        <w:tc>
          <w:tcPr>
            <w:tcW w:w="4926" w:type="dxa"/>
            <w:gridSpan w:val="2"/>
          </w:tcPr>
          <w:p w:rsidR="00000000" w:rsidRDefault="00F3315B">
            <w:pPr>
              <w:pStyle w:val="a3"/>
              <w:jc w:val="both"/>
            </w:pPr>
            <w:r>
              <w:t>Клиническая классификация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F3315B">
            <w:pPr>
              <w:pStyle w:val="a3"/>
              <w:jc w:val="both"/>
            </w:pPr>
            <w:r>
              <w:t>Т1</w:t>
            </w:r>
          </w:p>
        </w:tc>
        <w:tc>
          <w:tcPr>
            <w:tcW w:w="1983" w:type="dxa"/>
            <w:gridSpan w:val="2"/>
          </w:tcPr>
          <w:p w:rsidR="00000000" w:rsidRDefault="00F3315B">
            <w:pPr>
              <w:pStyle w:val="a3"/>
              <w:jc w:val="both"/>
            </w:pPr>
            <w:r>
              <w:t>Собственная пластинка слизистой/подслизистая</w:t>
            </w:r>
          </w:p>
        </w:tc>
        <w:tc>
          <w:tcPr>
            <w:tcW w:w="1984" w:type="dxa"/>
            <w:gridSpan w:val="2"/>
          </w:tcPr>
          <w:p w:rsidR="00000000" w:rsidRDefault="00F3315B">
            <w:pPr>
              <w:pStyle w:val="a3"/>
              <w:jc w:val="both"/>
            </w:pP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</w:pPr>
            <w:r>
              <w:t>Т1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>Меньше или 5 см без обструк</w:t>
            </w:r>
            <w:r>
              <w:t>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F3315B">
            <w:pPr>
              <w:pStyle w:val="a3"/>
              <w:jc w:val="both"/>
            </w:pPr>
            <w:r>
              <w:t xml:space="preserve">Т2 </w:t>
            </w:r>
          </w:p>
        </w:tc>
        <w:tc>
          <w:tcPr>
            <w:tcW w:w="1983" w:type="dxa"/>
            <w:gridSpan w:val="2"/>
          </w:tcPr>
          <w:p w:rsidR="00000000" w:rsidRDefault="00F3315B">
            <w:pPr>
              <w:pStyle w:val="a3"/>
              <w:jc w:val="both"/>
            </w:pPr>
            <w:r>
              <w:t>Мышечная оболочка</w:t>
            </w:r>
          </w:p>
        </w:tc>
        <w:tc>
          <w:tcPr>
            <w:tcW w:w="1984" w:type="dxa"/>
            <w:gridSpan w:val="2"/>
          </w:tcPr>
          <w:p w:rsidR="00000000" w:rsidRDefault="00F3315B">
            <w:pPr>
              <w:pStyle w:val="a3"/>
              <w:jc w:val="both"/>
            </w:pP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</w:pPr>
            <w:r>
              <w:t>Т2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>Более 5 см/обструкция/рост по всей окружности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F3315B">
            <w:pPr>
              <w:pStyle w:val="a3"/>
              <w:jc w:val="both"/>
            </w:pPr>
            <w:r>
              <w:t>Т3</w:t>
            </w:r>
          </w:p>
        </w:tc>
        <w:tc>
          <w:tcPr>
            <w:tcW w:w="1983" w:type="dxa"/>
            <w:gridSpan w:val="2"/>
          </w:tcPr>
          <w:p w:rsidR="00000000" w:rsidRDefault="00F3315B">
            <w:pPr>
              <w:pStyle w:val="a3"/>
              <w:jc w:val="both"/>
            </w:pPr>
            <w:proofErr w:type="spellStart"/>
            <w:r>
              <w:t>Адвентиция</w:t>
            </w:r>
            <w:proofErr w:type="spellEnd"/>
          </w:p>
        </w:tc>
        <w:tc>
          <w:tcPr>
            <w:tcW w:w="1984" w:type="dxa"/>
            <w:gridSpan w:val="2"/>
          </w:tcPr>
          <w:p w:rsidR="00000000" w:rsidRDefault="00F3315B">
            <w:pPr>
              <w:pStyle w:val="a3"/>
              <w:jc w:val="both"/>
            </w:pP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</w:pPr>
            <w:r>
              <w:t>Т3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>Опухоль за пределами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Т4</w:t>
            </w:r>
          </w:p>
        </w:tc>
        <w:tc>
          <w:tcPr>
            <w:tcW w:w="1983" w:type="dxa"/>
            <w:gridSpan w:val="2"/>
          </w:tcPr>
          <w:p w:rsidR="00000000" w:rsidRDefault="00F3315B">
            <w:pPr>
              <w:pStyle w:val="a3"/>
              <w:jc w:val="both"/>
            </w:pPr>
            <w:r>
              <w:t>Опухоль распространяется на соседние ткани и органы</w:t>
            </w:r>
          </w:p>
        </w:tc>
        <w:tc>
          <w:tcPr>
            <w:tcW w:w="1984" w:type="dxa"/>
            <w:gridSpan w:val="2"/>
          </w:tcPr>
          <w:p w:rsidR="00000000" w:rsidRDefault="00F3315B">
            <w:pPr>
              <w:pStyle w:val="a3"/>
              <w:jc w:val="both"/>
            </w:pPr>
          </w:p>
        </w:tc>
        <w:tc>
          <w:tcPr>
            <w:tcW w:w="994" w:type="dxa"/>
          </w:tcPr>
          <w:p w:rsidR="00000000" w:rsidRPr="00BF3409" w:rsidRDefault="00F3315B">
            <w:pPr>
              <w:pStyle w:val="a3"/>
              <w:jc w:val="both"/>
            </w:pP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Default="00F3315B">
            <w:pPr>
              <w:pStyle w:val="a3"/>
              <w:jc w:val="both"/>
            </w:pPr>
            <w:r>
              <w:rPr>
                <w:lang w:val="en-US"/>
              </w:rPr>
              <w:t>N1</w:t>
            </w:r>
          </w:p>
        </w:tc>
        <w:tc>
          <w:tcPr>
            <w:tcW w:w="3967" w:type="dxa"/>
            <w:gridSpan w:val="4"/>
          </w:tcPr>
          <w:p w:rsidR="00000000" w:rsidRDefault="00F3315B">
            <w:pPr>
              <w:pStyle w:val="a3"/>
              <w:jc w:val="both"/>
            </w:pPr>
            <w:r>
              <w:t>Регионарные лимфоузлы</w:t>
            </w: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 xml:space="preserve"> Для шейного отдела - надключичные и шейны</w:t>
            </w:r>
            <w:r>
              <w:t>е лимфоузлы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Pr="00BF3409" w:rsidRDefault="00F3315B">
            <w:pPr>
              <w:pStyle w:val="a3"/>
              <w:jc w:val="both"/>
            </w:pPr>
          </w:p>
        </w:tc>
        <w:tc>
          <w:tcPr>
            <w:tcW w:w="1322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1322" w:type="dxa"/>
            <w:gridSpan w:val="2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1323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N1</w:t>
            </w: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</w:pPr>
            <w:r>
              <w:rPr>
                <w:lang w:val="en-US"/>
              </w:rPr>
              <w:t>N1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 xml:space="preserve">Для внутригрудных отделов - </w:t>
            </w:r>
            <w:proofErr w:type="spellStart"/>
            <w:r>
              <w:t>медиастинеальный</w:t>
            </w:r>
            <w:proofErr w:type="spellEnd"/>
            <w:r>
              <w:t xml:space="preserve">, </w:t>
            </w:r>
            <w:proofErr w:type="spellStart"/>
            <w:r>
              <w:t>перигастральные</w:t>
            </w:r>
            <w:proofErr w:type="spellEnd"/>
            <w:r>
              <w:t xml:space="preserve"> узлы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00000" w:rsidRPr="00BF3409" w:rsidRDefault="00F3315B">
            <w:pPr>
              <w:pStyle w:val="a3"/>
              <w:jc w:val="both"/>
            </w:pPr>
          </w:p>
        </w:tc>
        <w:tc>
          <w:tcPr>
            <w:tcW w:w="3967" w:type="dxa"/>
            <w:gridSpan w:val="4"/>
          </w:tcPr>
          <w:p w:rsidR="00000000" w:rsidRDefault="00F3315B">
            <w:pPr>
              <w:pStyle w:val="a3"/>
              <w:jc w:val="both"/>
            </w:pPr>
          </w:p>
        </w:tc>
        <w:tc>
          <w:tcPr>
            <w:tcW w:w="994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М1</w:t>
            </w:r>
          </w:p>
        </w:tc>
        <w:tc>
          <w:tcPr>
            <w:tcW w:w="3932" w:type="dxa"/>
          </w:tcPr>
          <w:p w:rsidR="00000000" w:rsidRDefault="00F3315B">
            <w:pPr>
              <w:pStyle w:val="a3"/>
              <w:jc w:val="both"/>
            </w:pPr>
            <w:r>
              <w:t>Отдаленные метастазы (нерегиональные лимфоузлы, органы).</w:t>
            </w:r>
          </w:p>
        </w:tc>
      </w:tr>
    </w:tbl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Классификация по стадиям.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F3315B">
            <w:pPr>
              <w:pStyle w:val="a3"/>
              <w:jc w:val="both"/>
            </w:pPr>
            <w:r>
              <w:t>Стадия 1</w:t>
            </w:r>
          </w:p>
        </w:tc>
        <w:tc>
          <w:tcPr>
            <w:tcW w:w="6769" w:type="dxa"/>
          </w:tcPr>
          <w:p w:rsidR="00000000" w:rsidRDefault="00F3315B">
            <w:pPr>
              <w:pStyle w:val="a3"/>
              <w:jc w:val="both"/>
            </w:pPr>
            <w:r>
              <w:t>Т1</w:t>
            </w:r>
            <w:r>
              <w:rPr>
                <w:lang w:val="en-US"/>
              </w:rPr>
              <w:t>N0</w:t>
            </w:r>
            <w:r>
              <w:t>М0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F3315B">
            <w:pPr>
              <w:pStyle w:val="a3"/>
              <w:jc w:val="both"/>
            </w:pPr>
            <w:r>
              <w:t>Стадия 2А</w:t>
            </w:r>
          </w:p>
        </w:tc>
        <w:tc>
          <w:tcPr>
            <w:tcW w:w="6769" w:type="dxa"/>
          </w:tcPr>
          <w:p w:rsidR="00000000" w:rsidRDefault="00F3315B">
            <w:pPr>
              <w:pStyle w:val="a3"/>
              <w:jc w:val="both"/>
            </w:pPr>
            <w:r>
              <w:t xml:space="preserve">Т2,3 </w:t>
            </w:r>
            <w:r>
              <w:rPr>
                <w:lang w:val="en-US"/>
              </w:rPr>
              <w:t xml:space="preserve">N0 </w:t>
            </w:r>
            <w:r>
              <w:t>М0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F3315B">
            <w:pPr>
              <w:pStyle w:val="a3"/>
              <w:jc w:val="both"/>
            </w:pPr>
            <w:r>
              <w:t>Стадия 2Б</w:t>
            </w:r>
          </w:p>
        </w:tc>
        <w:tc>
          <w:tcPr>
            <w:tcW w:w="6769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t xml:space="preserve">Т1,2 </w:t>
            </w:r>
            <w:r>
              <w:rPr>
                <w:lang w:val="en-US"/>
              </w:rPr>
              <w:t>N1 M0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F3315B">
            <w:pPr>
              <w:pStyle w:val="a3"/>
              <w:jc w:val="both"/>
            </w:pPr>
            <w:r>
              <w:t>Стадия 3</w:t>
            </w:r>
          </w:p>
        </w:tc>
        <w:tc>
          <w:tcPr>
            <w:tcW w:w="6769" w:type="dxa"/>
          </w:tcPr>
          <w:p w:rsidR="00000000" w:rsidRDefault="00F3315B">
            <w:pPr>
              <w:pStyle w:val="a3"/>
              <w:jc w:val="both"/>
              <w:rPr>
                <w:lang w:val="en-US"/>
              </w:rPr>
            </w:pPr>
            <w:r>
              <w:t>Т3</w:t>
            </w:r>
            <w:r>
              <w:t xml:space="preserve"> </w:t>
            </w:r>
            <w:r>
              <w:rPr>
                <w:lang w:val="en-US"/>
              </w:rPr>
              <w:t xml:space="preserve">N1 </w:t>
            </w:r>
            <w:r>
              <w:t xml:space="preserve"> или Т4</w:t>
            </w:r>
            <w:r>
              <w:rPr>
                <w:lang w:val="en-US"/>
              </w:rPr>
              <w:t>N0N1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F3315B">
            <w:pPr>
              <w:pStyle w:val="a3"/>
              <w:jc w:val="both"/>
            </w:pPr>
            <w:r>
              <w:t>Стадия 4</w:t>
            </w:r>
          </w:p>
        </w:tc>
        <w:tc>
          <w:tcPr>
            <w:tcW w:w="6769" w:type="dxa"/>
          </w:tcPr>
          <w:p w:rsidR="00000000" w:rsidRDefault="00F3315B">
            <w:pPr>
              <w:pStyle w:val="a3"/>
              <w:jc w:val="both"/>
            </w:pPr>
            <w:r>
              <w:t xml:space="preserve">Любая Т, любая </w:t>
            </w:r>
            <w:r>
              <w:rPr>
                <w:lang w:val="en-US"/>
              </w:rPr>
              <w:t>N</w:t>
            </w:r>
            <w:r>
              <w:t>, М1</w:t>
            </w:r>
          </w:p>
        </w:tc>
      </w:tr>
    </w:tbl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  <w:proofErr w:type="gramStart"/>
      <w:r>
        <w:t>Регионарные  лимфатические</w:t>
      </w:r>
      <w:proofErr w:type="gramEnd"/>
      <w:r>
        <w:t xml:space="preserve"> узлы для верхней трети пищевода - надключичные, </w:t>
      </w:r>
      <w:proofErr w:type="spellStart"/>
      <w:r>
        <w:t>паратрахеальные</w:t>
      </w:r>
      <w:proofErr w:type="spellEnd"/>
      <w:r>
        <w:t xml:space="preserve">, верхние </w:t>
      </w:r>
      <w:proofErr w:type="spellStart"/>
      <w:r>
        <w:t>параэзофагеальные</w:t>
      </w:r>
      <w:proofErr w:type="spellEnd"/>
      <w:r>
        <w:t xml:space="preserve">, </w:t>
      </w:r>
      <w:proofErr w:type="spellStart"/>
      <w:r>
        <w:t>паракардиальные</w:t>
      </w:r>
      <w:proofErr w:type="spellEnd"/>
      <w:r>
        <w:t xml:space="preserve">;  для средней трети -  </w:t>
      </w:r>
      <w:proofErr w:type="spellStart"/>
      <w:r>
        <w:t>паратрахеальные</w:t>
      </w:r>
      <w:proofErr w:type="spellEnd"/>
      <w:r>
        <w:t xml:space="preserve">, </w:t>
      </w:r>
      <w:proofErr w:type="spellStart"/>
      <w:r>
        <w:t>бифуркационные</w:t>
      </w:r>
      <w:proofErr w:type="spellEnd"/>
      <w:r>
        <w:t xml:space="preserve">, </w:t>
      </w:r>
      <w:proofErr w:type="spellStart"/>
      <w:r>
        <w:t>параэзофагеальны</w:t>
      </w:r>
      <w:r>
        <w:t>е</w:t>
      </w:r>
      <w:proofErr w:type="spellEnd"/>
      <w:r>
        <w:t xml:space="preserve">, </w:t>
      </w:r>
      <w:proofErr w:type="spellStart"/>
      <w:r>
        <w:t>паракардиальные</w:t>
      </w:r>
      <w:proofErr w:type="spellEnd"/>
      <w:r>
        <w:t xml:space="preserve">; для нижней трети - </w:t>
      </w:r>
      <w:proofErr w:type="spellStart"/>
      <w:r>
        <w:t>параэзофагеальные</w:t>
      </w:r>
      <w:proofErr w:type="spellEnd"/>
      <w:r>
        <w:t xml:space="preserve">,  </w:t>
      </w:r>
      <w:proofErr w:type="spellStart"/>
      <w:r>
        <w:t>паракардиальные</w:t>
      </w:r>
      <w:proofErr w:type="spellEnd"/>
      <w:r>
        <w:t xml:space="preserve">, </w:t>
      </w:r>
      <w:proofErr w:type="spellStart"/>
      <w:r>
        <w:t>бифуркационные</w:t>
      </w:r>
      <w:proofErr w:type="spellEnd"/>
      <w:r>
        <w:t xml:space="preserve">, узлы малого сальника.  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Клинические проявления.</w:t>
      </w:r>
    </w:p>
    <w:p w:rsidR="00000000" w:rsidRDefault="00F3315B">
      <w:pPr>
        <w:pStyle w:val="a3"/>
        <w:jc w:val="both"/>
      </w:pPr>
      <w:r>
        <w:t xml:space="preserve">Жалобы: дисфагия, похудание, боль в грудной клетке, кашель, поперхивание, </w:t>
      </w:r>
      <w:proofErr w:type="spellStart"/>
      <w:r>
        <w:t>гиперсаливация</w:t>
      </w:r>
      <w:proofErr w:type="spellEnd"/>
      <w:r>
        <w:t xml:space="preserve">, </w:t>
      </w:r>
      <w:proofErr w:type="spellStart"/>
      <w:r>
        <w:t>регургитация</w:t>
      </w:r>
      <w:proofErr w:type="spellEnd"/>
      <w:r>
        <w:t xml:space="preserve"> (пищеводная </w:t>
      </w:r>
      <w:r>
        <w:t>рвота) и др.</w:t>
      </w:r>
    </w:p>
    <w:p w:rsidR="00000000" w:rsidRDefault="00F3315B">
      <w:pPr>
        <w:pStyle w:val="a3"/>
        <w:jc w:val="both"/>
      </w:pPr>
      <w:r>
        <w:t>Симптомы:</w:t>
      </w:r>
    </w:p>
    <w:p w:rsidR="00000000" w:rsidRDefault="00F3315B">
      <w:pPr>
        <w:pStyle w:val="a3"/>
        <w:numPr>
          <w:ilvl w:val="0"/>
          <w:numId w:val="3"/>
        </w:numPr>
        <w:jc w:val="both"/>
      </w:pPr>
      <w:r>
        <w:t>Дисфагия - затрудненное глотание.  При раке пищевода дисфагия, как правило, нарастает. Различают несколько степеней дисфагии: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 xml:space="preserve">         1 степень</w:t>
            </w:r>
          </w:p>
        </w:tc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 xml:space="preserve"> Затруднение прохождения твердой пищи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 xml:space="preserve">         2 степень</w:t>
            </w:r>
          </w:p>
        </w:tc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>Затруднение прохождения кашице</w:t>
            </w:r>
            <w:r>
              <w:t>образной пищи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 xml:space="preserve">         3 степень</w:t>
            </w:r>
          </w:p>
        </w:tc>
        <w:tc>
          <w:tcPr>
            <w:tcW w:w="4927" w:type="dxa"/>
          </w:tcPr>
          <w:p w:rsidR="00000000" w:rsidRDefault="00F3315B">
            <w:pPr>
              <w:pStyle w:val="a3"/>
              <w:jc w:val="both"/>
            </w:pPr>
            <w:r>
              <w:t>Затруднение прохождения жидкости</w:t>
            </w:r>
          </w:p>
        </w:tc>
      </w:tr>
    </w:tbl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  <w:r>
        <w:t>Прогрессирующая дисфагия при приеме твердой пищи указывает на обструкцию пищевода. Стойкая дисфагия при приеме твердой пищи возникает при сужении просвета пищевода до 1.2 см и меньше. Дис</w:t>
      </w:r>
      <w:r>
        <w:t>фагия при приеме жидкостей, кашель, охриплость голоса и кахексия - симптомы запущенной карцинома пищевода.</w:t>
      </w:r>
    </w:p>
    <w:p w:rsidR="00000000" w:rsidRDefault="00F3315B">
      <w:pPr>
        <w:pStyle w:val="a3"/>
        <w:numPr>
          <w:ilvl w:val="0"/>
          <w:numId w:val="3"/>
        </w:numPr>
        <w:jc w:val="both"/>
      </w:pPr>
      <w:r>
        <w:t>Прогрессирующее похудание.</w:t>
      </w:r>
    </w:p>
    <w:p w:rsidR="00000000" w:rsidRDefault="00F3315B">
      <w:pPr>
        <w:pStyle w:val="a3"/>
        <w:numPr>
          <w:ilvl w:val="0"/>
          <w:numId w:val="3"/>
        </w:numPr>
        <w:jc w:val="both"/>
      </w:pPr>
      <w:r>
        <w:t>Повышенная саливация.</w:t>
      </w:r>
    </w:p>
    <w:p w:rsidR="00000000" w:rsidRDefault="00F3315B">
      <w:pPr>
        <w:pStyle w:val="a3"/>
        <w:numPr>
          <w:ilvl w:val="0"/>
          <w:numId w:val="3"/>
        </w:numPr>
        <w:jc w:val="both"/>
      </w:pPr>
      <w:proofErr w:type="spellStart"/>
      <w:r>
        <w:t>Регургитация</w:t>
      </w:r>
      <w:proofErr w:type="spellEnd"/>
      <w:r>
        <w:t xml:space="preserve"> (срыгивания, "пищеводная рвота").</w:t>
      </w:r>
    </w:p>
    <w:p w:rsidR="00000000" w:rsidRDefault="00F3315B">
      <w:pPr>
        <w:pStyle w:val="a3"/>
        <w:numPr>
          <w:ilvl w:val="0"/>
          <w:numId w:val="3"/>
        </w:numPr>
        <w:jc w:val="both"/>
      </w:pPr>
      <w:r>
        <w:t xml:space="preserve"> Боли при глотании. Боль означает распространение опу</w:t>
      </w:r>
      <w:r>
        <w:t>холи за пределы стенки пищевода.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  <w:r>
        <w:t xml:space="preserve"> При поражении органов грудной полости: тупые боли в </w:t>
      </w:r>
      <w:proofErr w:type="gramStart"/>
      <w:r>
        <w:t>груди,  синдром</w:t>
      </w:r>
      <w:proofErr w:type="gramEnd"/>
      <w:r>
        <w:t xml:space="preserve"> верхней полой вены, кашель - при образовании пищеводно-трахеальной фистулы, синдром Горнера (поражение симпатического нерва), паралич диафрагмы (поражени</w:t>
      </w:r>
      <w:r>
        <w:t>е диафрагмального нерва), выпот в плевральную полость, массивная рвота кровью при образовании пищеводно-аортальной фистулы (абсолютно летальна).</w:t>
      </w:r>
    </w:p>
    <w:p w:rsidR="00000000" w:rsidRDefault="00F3315B">
      <w:pPr>
        <w:pStyle w:val="a3"/>
        <w:jc w:val="both"/>
      </w:pPr>
      <w:r>
        <w:t>Общие неспецифические симптомы: адинамия, утомляемость, безразличие, похудание, беспричинный субфебрилитет.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Ди</w:t>
      </w:r>
      <w:r>
        <w:t>агностика.</w:t>
      </w:r>
    </w:p>
    <w:p w:rsidR="00000000" w:rsidRDefault="00F3315B">
      <w:pPr>
        <w:pStyle w:val="a3"/>
        <w:numPr>
          <w:ilvl w:val="0"/>
          <w:numId w:val="5"/>
        </w:numPr>
        <w:jc w:val="both"/>
      </w:pPr>
      <w:r>
        <w:t>Жалобы больного (см выше).</w:t>
      </w:r>
    </w:p>
    <w:p w:rsidR="00000000" w:rsidRDefault="00F3315B">
      <w:pPr>
        <w:pStyle w:val="a3"/>
        <w:numPr>
          <w:ilvl w:val="0"/>
          <w:numId w:val="5"/>
        </w:numPr>
        <w:jc w:val="both"/>
      </w:pPr>
      <w:r>
        <w:t>Анамнез (см факторы риска).</w:t>
      </w:r>
    </w:p>
    <w:p w:rsidR="00000000" w:rsidRDefault="00F3315B">
      <w:pPr>
        <w:pStyle w:val="a3"/>
        <w:numPr>
          <w:ilvl w:val="0"/>
          <w:numId w:val="5"/>
        </w:numPr>
        <w:jc w:val="both"/>
      </w:pPr>
      <w:r>
        <w:t>Объективное исследование.</w:t>
      </w:r>
    </w:p>
    <w:p w:rsidR="00000000" w:rsidRDefault="00F3315B">
      <w:pPr>
        <w:pStyle w:val="a3"/>
        <w:numPr>
          <w:ilvl w:val="0"/>
          <w:numId w:val="5"/>
        </w:numPr>
        <w:jc w:val="both"/>
      </w:pPr>
      <w:r>
        <w:t>Инструментальные и лабораторные методы исследования: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proofErr w:type="spellStart"/>
      <w:r>
        <w:t>Рентгеноконтрастное</w:t>
      </w:r>
      <w:proofErr w:type="spellEnd"/>
      <w:r>
        <w:t xml:space="preserve"> исследование пищевода позволяет установить диагноз, определить локализацию и протяженность </w:t>
      </w:r>
      <w:r>
        <w:t xml:space="preserve">опухоли. Характерными признаками является сужение пищевода и </w:t>
      </w:r>
      <w:proofErr w:type="spellStart"/>
      <w:r>
        <w:t>супрстенотическое</w:t>
      </w:r>
      <w:proofErr w:type="spellEnd"/>
      <w:r>
        <w:t xml:space="preserve"> расширение, неровные ("изъеденные") края стенки, можно обнаружить пищеводно-трахеальный свищ.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Эзофагоскопия - наиболее важное исследование в диагностике рака пищевода. При выпол</w:t>
      </w:r>
      <w:r>
        <w:t>нении эзофагоскопии устанавливают характер роста опухоли, ее локализацию, протяженность, выполняю биопсию.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Бронхоскопия. Выполняют для оценки возможности прорастания опухоли в трахеобронхиальное дерево и для оценки движения голосовых связок.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Компьютерная т</w:t>
      </w:r>
      <w:r>
        <w:t>омография. Выполняют для оценки местного распространения опухоли по лимфатическим сосудам, а также для обнаружения возможных отдаленных метастазов.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Внутриполостное ультразвуковое исследование позволяет оценить степень прорастания опухоли.</w:t>
      </w:r>
    </w:p>
    <w:p w:rsidR="00000000" w:rsidRDefault="00F3315B">
      <w:pPr>
        <w:pStyle w:val="a3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proofErr w:type="spellStart"/>
      <w:r>
        <w:t>Лапартомия</w:t>
      </w:r>
      <w:proofErr w:type="spellEnd"/>
      <w:r>
        <w:t xml:space="preserve"> и биоп</w:t>
      </w:r>
      <w:r>
        <w:t xml:space="preserve">сия чревных лимфатических узлов, при поражении которых радикальная операция не производится. 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Лечение.</w:t>
      </w:r>
    </w:p>
    <w:p w:rsidR="00000000" w:rsidRDefault="00F3315B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Хирургическое лечение</w:t>
      </w:r>
      <w:r>
        <w:t xml:space="preserve"> проводят при поражениях нижней трети или дистальной части средней трети пищевода. Преимущество оперативного вмешательства - восст</w:t>
      </w:r>
      <w:r>
        <w:t xml:space="preserve">ановление просвета органа. Операционные доступы: </w:t>
      </w:r>
      <w:proofErr w:type="spellStart"/>
      <w:r>
        <w:t>правостороннаяя</w:t>
      </w:r>
      <w:proofErr w:type="spellEnd"/>
      <w:r>
        <w:t xml:space="preserve"> торакотомия; лапаротомия, </w:t>
      </w:r>
      <w:proofErr w:type="spellStart"/>
      <w:r>
        <w:t>диафрагмотомия</w:t>
      </w:r>
      <w:proofErr w:type="spellEnd"/>
      <w:r>
        <w:t xml:space="preserve">, шейная </w:t>
      </w:r>
      <w:proofErr w:type="spellStart"/>
      <w:r>
        <w:t>медиастинотомия</w:t>
      </w:r>
      <w:proofErr w:type="spellEnd"/>
      <w:r>
        <w:t xml:space="preserve"> слева. Операция представляет собою резекцию или полное удаление пищевода с реконструктивной операцией. Для восстановления непр</w:t>
      </w:r>
      <w:r>
        <w:t xml:space="preserve">ерывности ЖКТ и пластики пищевода используется либо желудок, либо ободочная кишка.   Различают одно- и многоэтапные операции. Чаще у сохранных больных, среднего возраста </w:t>
      </w:r>
      <w:proofErr w:type="gramStart"/>
      <w:r>
        <w:t>производят  одноэтапные</w:t>
      </w:r>
      <w:proofErr w:type="gramEnd"/>
      <w:r>
        <w:t xml:space="preserve"> операции - резекция пищевода с опухолью и анастомоз. Одномомен</w:t>
      </w:r>
      <w:r>
        <w:t xml:space="preserve">тные операции лучше выполнять при локализации опухоли в дистальных отделах пищевода.  </w:t>
      </w:r>
      <w:r>
        <w:rPr>
          <w:b/>
        </w:rPr>
        <w:t xml:space="preserve">Операция </w:t>
      </w:r>
      <w:proofErr w:type="spellStart"/>
      <w:r>
        <w:rPr>
          <w:b/>
        </w:rPr>
        <w:t>Торека</w:t>
      </w:r>
      <w:proofErr w:type="spellEnd"/>
      <w:r>
        <w:t xml:space="preserve"> - первый этап хирургического лечения, заключается в резекции пищевода с опухолью. Проксимальный конец выводят на шею (</w:t>
      </w:r>
      <w:proofErr w:type="spellStart"/>
      <w:r>
        <w:t>эзофагостома</w:t>
      </w:r>
      <w:proofErr w:type="spellEnd"/>
      <w:r>
        <w:t xml:space="preserve">) и накладывают </w:t>
      </w:r>
      <w:proofErr w:type="spellStart"/>
      <w:r>
        <w:t>гастрост</w:t>
      </w:r>
      <w:r>
        <w:t>ому</w:t>
      </w:r>
      <w:proofErr w:type="spellEnd"/>
      <w:r>
        <w:t xml:space="preserve">.  Второй этап хирургического лечения - восстановление проходимости пищевода с помощью создания искусственного пищевода по </w:t>
      </w:r>
      <w:proofErr w:type="spellStart"/>
      <w:r>
        <w:t>Ру</w:t>
      </w:r>
      <w:proofErr w:type="spellEnd"/>
      <w:r>
        <w:t xml:space="preserve">-Герцену: мобилизуют тощую кишку в 30-40 см от </w:t>
      </w:r>
      <w:proofErr w:type="spellStart"/>
      <w:r>
        <w:t>трейцевой</w:t>
      </w:r>
      <w:proofErr w:type="spellEnd"/>
      <w:r>
        <w:t xml:space="preserve"> связки, пересекают ее. Верхний конец ее сшивают с пищеводом, нижний - с</w:t>
      </w:r>
      <w:r>
        <w:t xml:space="preserve"> кишкой. Кишку проводят под кожей на передней грудной стенке. Полную проходимость пищевода производят через 3-4 недели, когда нижний конец кишки подшивают к желудку. Паллиативные операции выполняются при непроходимости пищевода, и заключаются в наложении </w:t>
      </w:r>
      <w:proofErr w:type="spellStart"/>
      <w:r>
        <w:t>г</w:t>
      </w:r>
      <w:r>
        <w:t>астростомы</w:t>
      </w:r>
      <w:proofErr w:type="spellEnd"/>
      <w:r>
        <w:t xml:space="preserve"> и </w:t>
      </w:r>
      <w:proofErr w:type="spellStart"/>
      <w:r>
        <w:t>эзофагостомы</w:t>
      </w:r>
      <w:proofErr w:type="spellEnd"/>
      <w:r>
        <w:t>.</w:t>
      </w:r>
    </w:p>
    <w:p w:rsidR="00000000" w:rsidRDefault="00F3315B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Лучевое лечение</w:t>
      </w:r>
      <w:r>
        <w:t xml:space="preserve"> является дополнением к хирургическому лечению. Лучевая терапия показана при локализации поражений в проксимальной части средней трети или в верхней трети пищевода. Средняя доза составляет примерно 40-60 Гр.</w:t>
      </w:r>
    </w:p>
    <w:p w:rsidR="00000000" w:rsidRDefault="00F3315B">
      <w:pPr>
        <w:pStyle w:val="a3"/>
        <w:numPr>
          <w:ilvl w:val="0"/>
          <w:numId w:val="7"/>
        </w:numPr>
        <w:jc w:val="both"/>
      </w:pPr>
      <w:r>
        <w:rPr>
          <w:b/>
          <w:i/>
        </w:rPr>
        <w:t>Химиот</w:t>
      </w:r>
      <w:r>
        <w:rPr>
          <w:b/>
          <w:i/>
        </w:rPr>
        <w:t xml:space="preserve">ерапия   </w:t>
      </w:r>
      <w:r>
        <w:t xml:space="preserve">практические не оказывает влияния на длительность жизни больных. Более обнадеживающие результаты получены при сочетаниях </w:t>
      </w:r>
      <w:proofErr w:type="spellStart"/>
      <w:r>
        <w:t>химио</w:t>
      </w:r>
      <w:proofErr w:type="spellEnd"/>
      <w:r>
        <w:t>- и лучевой терапии. Химиотерапия и лучевая терапия, проводимая перед операцией, уменьшает размеры опухоли и улучшает отд</w:t>
      </w:r>
      <w:r>
        <w:t>аленные результаты оперативного лечения.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4"/>
        <w:jc w:val="both"/>
      </w:pPr>
      <w:r>
        <w:t>Прогноз.</w:t>
      </w:r>
    </w:p>
    <w:p w:rsidR="00000000" w:rsidRDefault="00F3315B">
      <w:pPr>
        <w:pStyle w:val="a3"/>
        <w:jc w:val="both"/>
      </w:pPr>
      <w:r>
        <w:t xml:space="preserve"> При оперативном лечении 5-летняя выживаемость для всех групп больных - 5-15%. У пациентов, оперированных на ранних стадиях заболевания (без видимого поражения лимфатических узлов), 5-летняя выживаемость п</w:t>
      </w:r>
      <w:r>
        <w:t>овышается до 30%.</w:t>
      </w: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</w:p>
    <w:p w:rsidR="00000000" w:rsidRDefault="00F3315B">
      <w:pPr>
        <w:pStyle w:val="a3"/>
        <w:jc w:val="both"/>
      </w:pPr>
      <w:r>
        <w:t>Сноски:</w:t>
      </w:r>
    </w:p>
    <w:p w:rsidR="00000000" w:rsidRDefault="00F3315B">
      <w:pPr>
        <w:pStyle w:val="a3"/>
        <w:numPr>
          <w:ilvl w:val="0"/>
          <w:numId w:val="8"/>
        </w:numPr>
        <w:jc w:val="both"/>
      </w:pPr>
      <w:bookmarkStart w:id="6" w:name="Пламмер"/>
      <w:r>
        <w:t xml:space="preserve">Синдром </w:t>
      </w:r>
      <w:proofErr w:type="spellStart"/>
      <w:r>
        <w:t>Пламмера</w:t>
      </w:r>
      <w:proofErr w:type="spellEnd"/>
      <w:r>
        <w:t xml:space="preserve"> -</w:t>
      </w:r>
      <w:proofErr w:type="spellStart"/>
      <w:r>
        <w:t>Винсона</w:t>
      </w:r>
      <w:bookmarkEnd w:id="6"/>
      <w:proofErr w:type="spellEnd"/>
      <w:r>
        <w:t xml:space="preserve">. Проявлением этого синдрома являются мембраны в верхней трети пищевода, обычно у людей среднего возраста, как правило у женщин с выраженной адентией, </w:t>
      </w:r>
      <w:proofErr w:type="spellStart"/>
      <w:r>
        <w:t>атрофичной</w:t>
      </w:r>
      <w:proofErr w:type="spellEnd"/>
      <w:r>
        <w:t xml:space="preserve"> слизистой оболочкой полости рта, анемие</w:t>
      </w:r>
      <w:r>
        <w:t>й и дисфагией. Чаще мембраны расположены сразу ниже входа в пищевод. Лечение заключается в дилатации пищевода, применении препаратов железа.</w:t>
      </w:r>
    </w:p>
    <w:p w:rsidR="00000000" w:rsidRDefault="00F3315B">
      <w:pPr>
        <w:pStyle w:val="a3"/>
        <w:numPr>
          <w:ilvl w:val="0"/>
          <w:numId w:val="8"/>
        </w:numPr>
        <w:jc w:val="both"/>
      </w:pPr>
      <w:bookmarkStart w:id="7" w:name="Ахалазия"/>
      <w:proofErr w:type="spellStart"/>
      <w:proofErr w:type="gramStart"/>
      <w:r>
        <w:t>Ахалазия</w:t>
      </w:r>
      <w:bookmarkEnd w:id="7"/>
      <w:proofErr w:type="spellEnd"/>
      <w:r>
        <w:t xml:space="preserve">  пищевода</w:t>
      </w:r>
      <w:proofErr w:type="gramEnd"/>
      <w:r>
        <w:t xml:space="preserve"> (кардиоспазм, </w:t>
      </w:r>
      <w:proofErr w:type="spellStart"/>
      <w:r>
        <w:t>мегаэзофагус</w:t>
      </w:r>
      <w:proofErr w:type="spellEnd"/>
      <w:r>
        <w:t xml:space="preserve">, </w:t>
      </w:r>
      <w:proofErr w:type="spellStart"/>
      <w:r>
        <w:t>ахалазия</w:t>
      </w:r>
      <w:proofErr w:type="spellEnd"/>
      <w:r>
        <w:t xml:space="preserve"> пищевода) - нервно-мышечное заболевание, расстройство мотор</w:t>
      </w:r>
      <w:r>
        <w:t xml:space="preserve">ики пищевода, проявляющееся нарушением прохождения пищи в желудок не за счет препятствия (в том числе не обусловленное </w:t>
      </w:r>
      <w:proofErr w:type="spellStart"/>
      <w:r>
        <w:t>гастрозофагельным</w:t>
      </w:r>
      <w:proofErr w:type="spellEnd"/>
      <w:r>
        <w:t xml:space="preserve"> рефлюксом), а в результате недостаточного рефлекторного открытия нижнего сфинктера пищевода при глотании и беспорядочно</w:t>
      </w:r>
      <w:r>
        <w:t>й перистальтики вышележащих отделов пищеводной трубки. Симптомы:</w:t>
      </w:r>
    </w:p>
    <w:p w:rsidR="00000000" w:rsidRDefault="00F3315B">
      <w:pPr>
        <w:pStyle w:val="a3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 xml:space="preserve"> дисфагия, которая возникает внезапно (среди полного здоровья) или развивает постепенно, наблюдается при приеме пищи и жидкостей у 95-100% больных. Усиливается после нервного возбуждения, пос</w:t>
      </w:r>
      <w:r>
        <w:t xml:space="preserve">пешной еды, при приеме плохо прожеванной пищи. Зависит от температуры пищи. Холодна пища проходит свободно. Теплая - с большим трудом или не проходит совсем. Дисфагия уменьшается под влиянием различных приемов, найденных самими больными (например, ходьба, </w:t>
      </w:r>
      <w:r>
        <w:t xml:space="preserve">гимнастические упражнения, повторные глотательные движения, заглатывание воздуха, </w:t>
      </w:r>
      <w:proofErr w:type="spellStart"/>
      <w:r>
        <w:t>запивание</w:t>
      </w:r>
      <w:proofErr w:type="spellEnd"/>
      <w:r>
        <w:t xml:space="preserve"> большим количество воды). Эту дисфагию также называют </w:t>
      </w:r>
      <w:proofErr w:type="gramStart"/>
      <w:r>
        <w:t>парадоксальной ,</w:t>
      </w:r>
      <w:proofErr w:type="gramEnd"/>
      <w:r>
        <w:t xml:space="preserve">  так как плотная пища проходит в желудок лучше, чем жидкая.</w:t>
      </w:r>
    </w:p>
    <w:p w:rsidR="00000000" w:rsidRDefault="00F3315B">
      <w:pPr>
        <w:pStyle w:val="a3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proofErr w:type="spellStart"/>
      <w:r>
        <w:t>Регургитация</w:t>
      </w:r>
      <w:proofErr w:type="spellEnd"/>
      <w:r>
        <w:t xml:space="preserve"> (рвота неизменной пи</w:t>
      </w:r>
      <w:r>
        <w:t>щей): при незначительно расширении пищевода наступает после нескольких глотков, при значительной дилатации пищевода бывает более редкой, но обильной.</w:t>
      </w:r>
    </w:p>
    <w:p w:rsidR="00000000" w:rsidRDefault="00F3315B">
      <w:pPr>
        <w:pStyle w:val="a3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Боли за грудиной возникают при переполнении пищевода и исчезают после срыгивания или прохождения пищи в же</w:t>
      </w:r>
      <w:r>
        <w:t xml:space="preserve">лудок. Могут быть связаны со спазмом мускулатуры пищевода. В этом случае боли купируют нитроглицерин, атропин, </w:t>
      </w:r>
      <w:proofErr w:type="spellStart"/>
      <w:r>
        <w:t>амилнитрит</w:t>
      </w:r>
      <w:proofErr w:type="spellEnd"/>
      <w:r>
        <w:t>, коринфар.</w:t>
      </w:r>
    </w:p>
    <w:p w:rsidR="00000000" w:rsidRDefault="00F3315B">
      <w:pPr>
        <w:pStyle w:val="a3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</w:pPr>
      <w:r>
        <w:t>Потеря массы тела</w:t>
      </w:r>
    </w:p>
    <w:p w:rsidR="00000000" w:rsidRDefault="00F3315B">
      <w:pPr>
        <w:pStyle w:val="a3"/>
        <w:ind w:left="360"/>
        <w:jc w:val="both"/>
      </w:pPr>
      <w:r>
        <w:t>Классификация: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3315B">
            <w:pPr>
              <w:pStyle w:val="a3"/>
              <w:jc w:val="both"/>
            </w:pPr>
            <w:r>
              <w:t>1 стадия</w:t>
            </w:r>
          </w:p>
        </w:tc>
        <w:tc>
          <w:tcPr>
            <w:tcW w:w="8045" w:type="dxa"/>
          </w:tcPr>
          <w:p w:rsidR="00000000" w:rsidRDefault="00F3315B">
            <w:pPr>
              <w:pStyle w:val="a3"/>
              <w:jc w:val="both"/>
            </w:pPr>
            <w:r>
              <w:t>Непостоянный функциональный спазм без расширения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3315B">
            <w:pPr>
              <w:pStyle w:val="a3"/>
              <w:jc w:val="both"/>
            </w:pPr>
            <w:r>
              <w:t>2 стадия</w:t>
            </w:r>
          </w:p>
        </w:tc>
        <w:tc>
          <w:tcPr>
            <w:tcW w:w="8045" w:type="dxa"/>
          </w:tcPr>
          <w:p w:rsidR="00000000" w:rsidRDefault="00F3315B">
            <w:pPr>
              <w:pStyle w:val="a3"/>
              <w:jc w:val="both"/>
            </w:pPr>
            <w:r>
              <w:t>Стабильный сп</w:t>
            </w:r>
            <w:r>
              <w:t>азм с нерезким расширением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3315B">
            <w:pPr>
              <w:pStyle w:val="a3"/>
              <w:jc w:val="both"/>
            </w:pPr>
            <w:r>
              <w:t>3 стадия</w:t>
            </w:r>
          </w:p>
        </w:tc>
        <w:tc>
          <w:tcPr>
            <w:tcW w:w="8045" w:type="dxa"/>
          </w:tcPr>
          <w:p w:rsidR="00000000" w:rsidRDefault="00F3315B">
            <w:pPr>
              <w:pStyle w:val="a3"/>
              <w:jc w:val="both"/>
            </w:pPr>
            <w:r>
              <w:t>Рубцовые изменения (стеноз) нижнего сфинктера пищевода с выраженным расширением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F3315B">
            <w:pPr>
              <w:pStyle w:val="a3"/>
              <w:jc w:val="both"/>
            </w:pPr>
            <w:r>
              <w:t>4 стадия</w:t>
            </w:r>
          </w:p>
        </w:tc>
        <w:tc>
          <w:tcPr>
            <w:tcW w:w="8045" w:type="dxa"/>
          </w:tcPr>
          <w:p w:rsidR="00000000" w:rsidRDefault="00F3315B">
            <w:pPr>
              <w:pStyle w:val="a3"/>
              <w:jc w:val="both"/>
            </w:pPr>
            <w:r>
              <w:t xml:space="preserve"> Резко выраженный стеноз </w:t>
            </w:r>
            <w:proofErr w:type="spellStart"/>
            <w:r>
              <w:t>кардии</w:t>
            </w:r>
            <w:proofErr w:type="spellEnd"/>
            <w:r>
              <w:t xml:space="preserve"> с большой дилатацией, удлинением, </w:t>
            </w:r>
            <w:r>
              <w:rPr>
                <w:lang w:val="en-US"/>
              </w:rPr>
              <w:t>S</w:t>
            </w:r>
            <w:r>
              <w:t>-образной деформацией пищевода и эзофагитом.</w:t>
            </w:r>
          </w:p>
        </w:tc>
      </w:tr>
    </w:tbl>
    <w:p w:rsidR="00F3315B" w:rsidRDefault="00F3315B">
      <w:pPr>
        <w:pStyle w:val="a3"/>
        <w:jc w:val="both"/>
      </w:pPr>
    </w:p>
    <w:sectPr w:rsidR="00F33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9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B103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E33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E474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DE63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954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F15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131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60147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9"/>
    <w:rsid w:val="00BF3409"/>
    <w:rsid w:val="00F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7AAB4-CBDE-44E3-8BD4-E3C86497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А"/>
    <w:basedOn w:val="a"/>
    <w:rPr>
      <w:sz w:val="16"/>
    </w:rPr>
  </w:style>
  <w:style w:type="paragraph" w:customStyle="1" w:styleId="a4">
    <w:name w:val="А"/>
    <w:basedOn w:val="a3"/>
    <w:rPr>
      <w:rFonts w:ascii="Arial" w:hAnsi="Arial"/>
      <w:b/>
      <w:i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лекции Рак пищевода</vt:lpstr>
    </vt:vector>
  </TitlesOfParts>
  <Company>Мой оффис</Company>
  <LinksUpToDate>false</LinksUpToDate>
  <CharactersWithSpaces>10014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Ахалазия</vt:lpwstr>
      </vt:variant>
      <vt:variant>
        <vt:i4>70386739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Пламмер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лекции Рак пищевода</dc:title>
  <dc:subject/>
  <dc:creator>Красножон Дмитрий</dc:creator>
  <cp:keywords/>
  <cp:lastModifiedBy>Igor Trofimov</cp:lastModifiedBy>
  <cp:revision>2</cp:revision>
  <dcterms:created xsi:type="dcterms:W3CDTF">2024-10-05T17:39:00Z</dcterms:created>
  <dcterms:modified xsi:type="dcterms:W3CDTF">2024-10-05T17:39:00Z</dcterms:modified>
</cp:coreProperties>
</file>