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type="tile"/>
    </v:background>
  </w:background>
  <w:body>
    <w:p w:rsidR="00000000" w:rsidRDefault="0057778A">
      <w:pPr>
        <w:pStyle w:val="a6"/>
        <w:ind w:firstLine="567"/>
        <w:jc w:val="center"/>
        <w:outlineLvl w:val="0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РАННИЕ ТОКСИКОЗЫ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u w:val="single"/>
        </w:rPr>
        <w:t xml:space="preserve">Цель занятия: </w:t>
      </w:r>
      <w:r>
        <w:t>изучение этиологии, патогенеза, клиники ранних токсикозов беременных, методы диагностики и лечения, профилак</w:t>
      </w:r>
      <w:r>
        <w:t>тика.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u w:val="single"/>
        </w:rPr>
        <w:t xml:space="preserve">Студент должен знать: </w:t>
      </w:r>
      <w:r>
        <w:t>часто встречающиеся формы токсикозов (слюнотечение, рвота беременных), а также редкие формы токсикозов (хорея беременных, остеомаляция, дерматозы, острая желтая дистрофия печени), этиологию и патогенез рвоты беременных, классифи</w:t>
      </w:r>
      <w:r>
        <w:t>кацию по клинической картине, методы диагностики, принципы лечения, показания для прерывания беременности.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на основании жалоб, анамнеза, клинической картины, дополнительных методов исследования поставить диагноз и определить степень т</w:t>
      </w:r>
      <w:r>
        <w:t>яжести токсикоза, составить план лечения.</w:t>
      </w:r>
    </w:p>
    <w:p w:rsidR="00000000" w:rsidRDefault="0057778A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57778A">
      <w:pPr>
        <w:pStyle w:val="a6"/>
        <w:ind w:firstLine="567"/>
        <w:jc w:val="both"/>
      </w:pPr>
      <w:r>
        <w:rPr>
          <w:i/>
          <w:iCs/>
          <w:color w:val="FF0000"/>
        </w:rPr>
        <w:t>Токсикозами</w:t>
      </w:r>
      <w:r>
        <w:t xml:space="preserve"> (гестозами) называют состояния беременных женщин, возникающие в связи с развитием всего плодного яйца или отдельных его элементов, характеризующиеся множественностью симптомов, из кот</w:t>
      </w:r>
      <w:r>
        <w:t>орых наиболее постоянными и выраженными являются нарушение функции центральной нервной системы, сосудистые расстройства и нарушения обмена веществ. При удалении плодного яйца или его элементов заболевание, как правило, прекращается. Эти состояния беременны</w:t>
      </w:r>
      <w:r>
        <w:t>х классифицируют по сроку возникновения. Различают ранние токсикозы и поздние гестозы. Они отличаются по своему клиническому течению. Ранний токсикоз обычно наблюдают в I триместре, и он проходит в начале II триместра беременности. Гестозы возникают во вто</w:t>
      </w:r>
      <w:r>
        <w:t>ром или третьем триместрах беременности.</w:t>
      </w:r>
    </w:p>
    <w:p w:rsidR="00000000" w:rsidRDefault="0057778A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ПАТОГЕНЕЗ</w:t>
      </w:r>
    </w:p>
    <w:p w:rsidR="00000000" w:rsidRDefault="0057778A">
      <w:pPr>
        <w:pStyle w:val="a6"/>
        <w:ind w:firstLine="567"/>
        <w:jc w:val="both"/>
      </w:pPr>
      <w:r>
        <w:t xml:space="preserve">Существовало множество теорий, пытающихся объяснит механизм развития раннего токсикоза: </w:t>
      </w:r>
      <w:r>
        <w:rPr>
          <w:i/>
          <w:iCs/>
        </w:rPr>
        <w:t>рефлекторная, неврогенная, гормональная, аллергическая, иммунная, кортико-висцеральная</w:t>
      </w:r>
      <w:r>
        <w:t>. В патогенезе раннего токсикоз</w:t>
      </w:r>
      <w:r>
        <w:t>а ведущую роль занимает нарушение функционального состояния центральной нервной системы. В ранние сроки беременности симптомы раннего токсикоза (невроза) проявляются расстройством функции желудочно-кишечного тракта. Пищевые рефлексы связаны с вегетативными</w:t>
      </w:r>
      <w:r>
        <w:t xml:space="preserve"> центрами диэнцефальной области. Поступающие сюда с периферии афферентные сигналы могут носить извращенный характер (либо из-за изменений в рецепторах матки, либо в проводящих путях), возможны изменения и в самих центрах диэнцефальной области, что может из</w:t>
      </w:r>
      <w:r>
        <w:t>менить характер ответных эфферентных импульсов. При нарушенной чувствительности системы быстро наступает изменение рефлекторных реакций, нарушение пищевых функций: потеря аппетита, тошнота, слюнотечение (саливация), рвота. Огромную роль в возникновении ран</w:t>
      </w:r>
      <w:r>
        <w:t>него токсикоза играют нейроэндокринные и обменные нарушения, в связи с этим при прогрессировании заболевания, постепенно развиваются изменения водно-солевого, углеводного и жирового, а затем и белкового метаболизма на фоне нарастающего истощения и снижения</w:t>
      </w:r>
      <w:r>
        <w:t xml:space="preserve"> массы тела. Нарушение гормонального состояния может вызывать патологические рефлекторные реакции. При рвоте беременных отмечают временное совпадение начала рвоты с пиком содержания хорионического гонадотропина, нередко отмечается снижение кортикостероидно</w:t>
      </w:r>
      <w:r>
        <w:t>й функции надпочечников.</w:t>
      </w:r>
    </w:p>
    <w:p w:rsidR="00000000" w:rsidRDefault="0057778A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КЛИНИЧЕСКОЕ ТЕЧЕНИЕ</w:t>
      </w:r>
    </w:p>
    <w:p w:rsidR="00000000" w:rsidRDefault="0057778A">
      <w:pPr>
        <w:pStyle w:val="a6"/>
        <w:ind w:firstLine="567"/>
        <w:jc w:val="both"/>
      </w:pPr>
      <w:r>
        <w:lastRenderedPageBreak/>
        <w:t>Выделяют часто встречающиеся (рвота беременных, слюнотечение) и редкие формы раннего токсикоза (дерматозы беременных, тетания, остеомаляция, острая желтая атрофия печени, бронхиальная астма беременных).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color w:val="FF0000"/>
        </w:rPr>
        <w:t>Рвота бе</w:t>
      </w:r>
      <w:r>
        <w:rPr>
          <w:b/>
          <w:bCs/>
          <w:color w:val="FF0000"/>
        </w:rPr>
        <w:t>ременных</w:t>
      </w:r>
      <w:r>
        <w:t xml:space="preserve"> (emesis gravidarum) возникает примерно у 50-60% беременных, но в лечении нуждаются не более 8-10% из них. Чем раньше возникает рвота беременных, тем тяжелее она протекает. В зависимости от выраженности рвоты различают три степени тяжести: легкая, </w:t>
      </w:r>
      <w:r>
        <w:t>средняя и тяжелая.</w:t>
      </w:r>
    </w:p>
    <w:p w:rsidR="00000000" w:rsidRDefault="0057778A">
      <w:pPr>
        <w:pStyle w:val="a6"/>
        <w:ind w:firstLine="567"/>
        <w:jc w:val="both"/>
      </w:pPr>
      <w:r>
        <w:rPr>
          <w:i/>
          <w:iCs/>
          <w:color w:val="FF0000"/>
        </w:rPr>
        <w:t>При легкой степени (I степень) рвоты беременных</w:t>
      </w:r>
      <w:r>
        <w:t xml:space="preserve"> общее состояние больной остается удовлетворительным. Рвота наблюдается 5 раз в сутки чаще после еды, иногда натощак. Это снижает аппетит и угнетает настроение беременной женщины. Больная те</w:t>
      </w:r>
      <w:r>
        <w:t>ряет в массе не более 3 кг, температура тела остается в пределах нормы. Влажность кожных покровов и слизистых оболочек остается нормальной, частота пульса не превышает 80 уд/мин. Артериальное давление не изменяется. Клинические анализы мочи и крови без пат</w:t>
      </w:r>
      <w:r>
        <w:t>ологических изменений.</w:t>
      </w:r>
    </w:p>
    <w:p w:rsidR="00000000" w:rsidRDefault="0057778A">
      <w:pPr>
        <w:pStyle w:val="a6"/>
        <w:ind w:firstLine="567"/>
        <w:jc w:val="both"/>
      </w:pPr>
      <w:r>
        <w:rPr>
          <w:i/>
          <w:iCs/>
          <w:color w:val="FF0000"/>
        </w:rPr>
        <w:t>II степень – рвота средней степени тяжести</w:t>
      </w:r>
      <w:r>
        <w:rPr>
          <w:color w:val="FF0000"/>
        </w:rPr>
        <w:t>.</w:t>
      </w:r>
      <w:r>
        <w:t xml:space="preserve"> Общее состояние женщины заметно нарушается: рвота наблюдается от 6 до 10 раз в сутки и уже не связана с приемом пищи, потеря массы тела от 2 до 3 кг за 1,5-2 недели. Возможна субфебрильная </w:t>
      </w:r>
      <w:r>
        <w:t>температура. Влажность кожных покровов и слизистых оболочек остается нормальной. Тахикардия до 90-100 уд/мин. Артериальное давление может быть незначительно снижено. Ацетонурия у 20-50% больных.</w:t>
      </w:r>
    </w:p>
    <w:p w:rsidR="00000000" w:rsidRDefault="0057778A">
      <w:pPr>
        <w:pStyle w:val="a6"/>
        <w:ind w:firstLine="567"/>
        <w:jc w:val="both"/>
      </w:pPr>
      <w:r>
        <w:rPr>
          <w:i/>
          <w:iCs/>
          <w:color w:val="FF0000"/>
        </w:rPr>
        <w:t>III степень – тяжелая (чрезмерная) рвота беременных.</w:t>
      </w:r>
      <w:r>
        <w:t xml:space="preserve"> Общее со</w:t>
      </w:r>
      <w:r>
        <w:t>стояние женщины резко ухудшается. Рвота бывает до 20-25 раз в сутки, иногда при любом движении больной. Нарушен сон, адинамия. Потеря массы тела до 8-10 кг. Кожные покровы и слизистые оболочки становятся сухими, язык обложен. Повышается температура тела (3</w:t>
      </w:r>
      <w:r>
        <w:t>7,2-37,5</w:t>
      </w:r>
      <w:r>
        <w:t></w:t>
      </w:r>
      <w:r>
        <w:t>). Тахикардия до 110-120 уд/мин, артериальное давление снижается. Беременные не удерживают ни пищу, ни воду, что приводит к обезвоживанию организма и метаболическим нарушениям. Нарушаются все виды обмена веществ. Суточный диурез снижен, ацетонурия</w:t>
      </w:r>
      <w:r>
        <w:t>, нередко белок и цилиндры в моче. Иногда повышается содержание гемоглобина в крови, связанное с обезвоживанием организма. В анализах крови гипо- и диспротеинемия, гипербилирубинемия, повышение креатинина. Сдвиг кислотно-щелочного равновесия в сторону ацид</w:t>
      </w:r>
      <w:r>
        <w:t>оза. При исследовании электролитов находят снижение калия, натрия и кальция.</w:t>
      </w:r>
    </w:p>
    <w:p w:rsidR="00000000" w:rsidRDefault="0057778A">
      <w:pPr>
        <w:pStyle w:val="a6"/>
        <w:ind w:firstLine="567"/>
        <w:jc w:val="both"/>
      </w:pPr>
      <w:r>
        <w:t> </w:t>
      </w:r>
    </w:p>
    <w:p w:rsidR="00000000" w:rsidRDefault="0057778A">
      <w:pPr>
        <w:pStyle w:val="a6"/>
        <w:ind w:firstLine="567"/>
        <w:jc w:val="both"/>
        <w:outlineLvl w:val="0"/>
        <w:rPr>
          <w:b/>
          <w:bCs/>
        </w:rPr>
      </w:pPr>
      <w:r>
        <w:rPr>
          <w:b/>
          <w:bCs/>
        </w:rPr>
        <w:t>СХЕМА ДЛЯ УСТАНОВЛЕНИЯ СТЕПЕНИ ТЯЖЕСТИ РВОТЫ БЕРЕМЕННЫХ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2502"/>
        <w:gridCol w:w="1783"/>
        <w:gridCol w:w="1784"/>
        <w:gridCol w:w="18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02" w:type="dxa"/>
            <w:vMerge w:val="restart"/>
            <w:tcBorders>
              <w:top w:val="single" w:sz="6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Симптоматика</w:t>
            </w:r>
          </w:p>
        </w:tc>
        <w:tc>
          <w:tcPr>
            <w:tcW w:w="5435" w:type="dxa"/>
            <w:gridSpan w:val="3"/>
            <w:tcBorders>
              <w:top w:val="single" w:sz="6" w:space="0" w:color="auto"/>
              <w:left w:val="nil"/>
              <w:bottom w:val="nil"/>
            </w:tcBorders>
            <w:shd w:val="clear" w:color="auto" w:fill="C0C0C0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Степень тяжести рвоты беременных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0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00000" w:rsidRDefault="0057778A">
            <w:pPr>
              <w:ind w:firstLine="567"/>
              <w:jc w:val="both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Легкая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Средняя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000000" w:rsidRDefault="0057778A">
            <w:pPr>
              <w:pStyle w:val="a6"/>
              <w:ind w:left="720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Тяжелая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Аппетит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Умеренно снижен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Значительно снижен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Отсутс</w:t>
            </w:r>
            <w:r>
              <w:t>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Тошнота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Умеренная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Значительная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Постоянная, мучительная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Саливация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Умеренная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Выраженная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Густая вязкая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 xml:space="preserve">Частота рвоты </w:t>
            </w:r>
            <w:r>
              <w:rPr>
                <w:b/>
                <w:bCs/>
              </w:rPr>
              <w:lastRenderedPageBreak/>
              <w:t>(в сутки)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lastRenderedPageBreak/>
              <w:t>3-5 раз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6-10 раз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 xml:space="preserve">11-15 раз и чаще (до </w:t>
            </w:r>
            <w:r>
              <w:lastRenderedPageBreak/>
              <w:t>непрерывной)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lastRenderedPageBreak/>
              <w:t>Частота пульса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80-90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90-100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Свыше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Систолическое АД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120-110 мм рт.с</w:t>
            </w:r>
            <w:r>
              <w:t>т.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110-100 мм рт.ст.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Менее 100 мм рт.ст.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Удержание пищи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В основном удерживают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Частично удерживают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Не удерживают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Снижение массы тела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1-3 кг (до 5% от исходной массы)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3-5 кг (1 кг в нед., 6-10% от исходной массы)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Более 5 кг (2-3 кг в нед., более 10% исходн</w:t>
            </w:r>
            <w:r>
              <w:t>ой массы)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Головокружение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Редко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У 30-40% больных (выражено умеренно)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У 50-60% больных (выражено значительно)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Субфебрилитет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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Наблюдают редко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У 35-80% больных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Желтушность склер и кожи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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У 5-7% больных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У 20-30% больных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Гипербилирубинемия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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21-40 мкмоль/л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21-60 мкмоль/л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Сухость кожи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</w:t>
            </w:r>
            <w:r>
              <w:t xml:space="preserve"> +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++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+++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Стул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Один раз в 2-3 дня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Задержка стула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Диурез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900-800 мл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800-700 мл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Менее 700мл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2" w:type="dxa"/>
            <w:tcBorders>
              <w:top w:val="nil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000000" w:rsidRDefault="0057778A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Ацетонурия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Периодически у 20-50%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7778A">
            <w:pPr>
              <w:pStyle w:val="a6"/>
              <w:ind w:firstLine="567"/>
              <w:jc w:val="both"/>
            </w:pPr>
            <w:r>
              <w:t>У 70-100%</w:t>
            </w:r>
          </w:p>
        </w:tc>
      </w:tr>
    </w:tbl>
    <w:p w:rsidR="00000000" w:rsidRDefault="0057778A">
      <w:pPr>
        <w:pStyle w:val="a6"/>
        <w:ind w:firstLine="567"/>
        <w:jc w:val="both"/>
      </w:pPr>
      <w:r>
        <w:t> Проявления раннего токсикоза беременных необходимо дифференцировать с рядом заболева</w:t>
      </w:r>
      <w:r>
        <w:t>ний, при которых также отмечается рвота (пищевая токсикоинфекция, гастрит, панкреатит, желчнокаменная болезнь, рак желудка, нейроинфекция и др.).</w:t>
      </w:r>
    </w:p>
    <w:p w:rsidR="00000000" w:rsidRDefault="0057778A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57778A">
      <w:pPr>
        <w:pStyle w:val="a6"/>
        <w:ind w:firstLine="567"/>
        <w:jc w:val="both"/>
      </w:pPr>
      <w:r>
        <w:t>Лечение больных рвотой беременных должно быть комплексным и дифференцированным с одновременным многост</w:t>
      </w:r>
      <w:r>
        <w:t>оронним воздействием на различные стороны патогенеза заболевания.</w:t>
      </w:r>
    </w:p>
    <w:p w:rsidR="00000000" w:rsidRDefault="0057778A">
      <w:pPr>
        <w:pStyle w:val="a6"/>
        <w:ind w:firstLine="567"/>
        <w:jc w:val="both"/>
      </w:pPr>
      <w:r>
        <w:t>Комплексная терапия рвоты беременных включает препараты, воздействующие на ЦНС, нормализующие эндокринные и обменные нарушения (в частности, водно-электролитный баланс), антигистаминные сред</w:t>
      </w:r>
      <w:r>
        <w:t>ства, витамины. При лечении необходимо соблюдать лечебно-охранительный режим. Нельзя помещать в палату двух подобных больных, так как у выздоравливающей женщины может возникнуть рецидив заболевания под влиянием больной с продолжающейся рвотой.</w:t>
      </w:r>
    </w:p>
    <w:p w:rsidR="00000000" w:rsidRDefault="0057778A">
      <w:pPr>
        <w:pStyle w:val="a6"/>
        <w:ind w:firstLine="567"/>
        <w:jc w:val="both"/>
      </w:pPr>
      <w:r>
        <w:lastRenderedPageBreak/>
        <w:t>Для нормализ</w:t>
      </w:r>
      <w:r>
        <w:t xml:space="preserve">ации функции ЦНС используют электросон или электроанальгезию. Длительность воздействия – 60-90 минут. Курс лечения состоит из 6-8 сеансов. С целью воздействия на ЦНС может быть использована гипносуггестивная терапия. Хороший эффект дают различные варианты </w:t>
      </w:r>
      <w:r>
        <w:t>рефлексотерапии.</w:t>
      </w:r>
    </w:p>
    <w:p w:rsidR="00000000" w:rsidRDefault="0057778A">
      <w:pPr>
        <w:pStyle w:val="a6"/>
        <w:ind w:firstLine="567"/>
        <w:jc w:val="both"/>
      </w:pPr>
      <w:r>
        <w:t>Для борьбы с обезвоживанием организма, для детоксикации и восстановления КОС применяют инфузионную терапию в количестве 2,0-2,5 л в сутки. Ежедневно в течение 5-7 дней вводят раствор Рингера-Локка (1000-1500 мл), 5,0% раствор глюкозы (500-</w:t>
      </w:r>
      <w:r>
        <w:t>1000 мл) с аскорбиновой кислотой (5,0% раствор 3-5 мл) и инсулином (из расчета 1 ед инсулина на 4,0 г сухого вещества глюкозы). Для коррекции гипопротеинемии используют альбумин (10,0 или 20,0% раствор в количестве 100-150 мл), плазму. При нарушении КОС ре</w:t>
      </w:r>
      <w:r>
        <w:t>комендуют внутривенное введение натрия гидрокарбоната (5,0% раствор) или лактосола и др. В результате ликвидации обезвоживания и потери солей, а также дефицита альбуминов состояние больных быстро улучшается.</w:t>
      </w:r>
    </w:p>
    <w:p w:rsidR="00000000" w:rsidRDefault="0057778A">
      <w:pPr>
        <w:pStyle w:val="a6"/>
        <w:ind w:firstLine="567"/>
        <w:jc w:val="both"/>
      </w:pPr>
      <w:r>
        <w:t>Для подавления возбудимости рвотного центра можн</w:t>
      </w:r>
      <w:r>
        <w:t>о использовать церукал, торекан, дроперидол и др. Основным правилом медикаментозной терапии при тяжелой и средней степени тяжести рвоты является парентеральный метод введения в течение 5-7 дней (до достижения стойкого эффекта).</w:t>
      </w:r>
    </w:p>
    <w:p w:rsidR="00000000" w:rsidRDefault="0057778A">
      <w:pPr>
        <w:pStyle w:val="a6"/>
        <w:ind w:firstLine="567"/>
        <w:jc w:val="both"/>
      </w:pPr>
      <w:r>
        <w:t xml:space="preserve">В комплексную терапию рвоты </w:t>
      </w:r>
      <w:r>
        <w:t>беременных включают внутримышечные инъекции витаминов (В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6</w:t>
      </w:r>
      <w:r>
        <w:t>, В</w:t>
      </w:r>
      <w:r>
        <w:rPr>
          <w:vertAlign w:val="subscript"/>
        </w:rPr>
        <w:t>12</w:t>
      </w:r>
      <w:r>
        <w:t>, С) и коферментов (кокарбоксилаза). Используют дипразин (пипольфен), оказывающий седативное действие на ЦНС, способствующий уменьшению рвоты. Препарат обладает пролонгированной антигистамин</w:t>
      </w:r>
      <w:r>
        <w:t>ной активностью. В комплекс медикаментозной терапии включают и другие антигистаминные препараты – супрастин, диазолин, тавегил и др.</w:t>
      </w:r>
    </w:p>
    <w:p w:rsidR="00000000" w:rsidRDefault="0057778A">
      <w:pPr>
        <w:pStyle w:val="a6"/>
        <w:ind w:firstLine="567"/>
        <w:jc w:val="both"/>
      </w:pPr>
      <w:r>
        <w:t>Критериями достаточности инфузионной терапии являются уменьшение обезвоживания и повышение тургора кожи, нормализация велич</w:t>
      </w:r>
      <w:r>
        <w:t>ины гематокрита, увеличение диуреза, улучшение самочувствия. Комплексную терапию продолжают до стойкого прекращения рвоты, нормализации общего состояния, постепенного нарастания массы тела. Выписка через 5 – 7 дней после прекращения рвоты.</w:t>
      </w:r>
    </w:p>
    <w:p w:rsidR="00000000" w:rsidRDefault="0057778A">
      <w:pPr>
        <w:pStyle w:val="a6"/>
        <w:ind w:firstLine="567"/>
        <w:jc w:val="both"/>
      </w:pPr>
      <w:r>
        <w:t xml:space="preserve">Неэффективность </w:t>
      </w:r>
      <w:r>
        <w:t>проводимой терапии является показанием для прерывания беременности.</w:t>
      </w:r>
    </w:p>
    <w:p w:rsidR="00000000" w:rsidRDefault="0057778A">
      <w:pPr>
        <w:pStyle w:val="a6"/>
        <w:ind w:firstLine="567"/>
        <w:jc w:val="both"/>
      </w:pPr>
      <w:r>
        <w:t xml:space="preserve">Показанием для прерывания беременности являются: </w:t>
      </w:r>
    </w:p>
    <w:p w:rsidR="00000000" w:rsidRDefault="0057778A">
      <w:pPr>
        <w:pStyle w:val="a6"/>
        <w:ind w:left="720" w:firstLine="567"/>
        <w:jc w:val="both"/>
      </w:pPr>
      <w:r>
        <w:t> непрекращающаяся рвота;</w:t>
      </w:r>
    </w:p>
    <w:p w:rsidR="00000000" w:rsidRDefault="0057778A">
      <w:pPr>
        <w:pStyle w:val="a6"/>
        <w:ind w:left="720" w:firstLine="567"/>
        <w:jc w:val="both"/>
      </w:pPr>
      <w:r>
        <w:t> нарастающее обезвоживание организма;</w:t>
      </w:r>
    </w:p>
    <w:p w:rsidR="00000000" w:rsidRDefault="0057778A">
      <w:pPr>
        <w:pStyle w:val="a6"/>
        <w:ind w:left="720" w:firstLine="567"/>
        <w:jc w:val="both"/>
      </w:pPr>
      <w:r>
        <w:t> прогрессирующее снижение массы тела;</w:t>
      </w:r>
    </w:p>
    <w:p w:rsidR="00000000" w:rsidRDefault="0057778A">
      <w:pPr>
        <w:pStyle w:val="a6"/>
        <w:ind w:left="720" w:firstLine="567"/>
        <w:jc w:val="both"/>
      </w:pPr>
      <w:r>
        <w:t> прогрессирующая ацетонурия в течение</w:t>
      </w:r>
      <w:r>
        <w:t xml:space="preserve"> 3-4 дней; </w:t>
      </w:r>
    </w:p>
    <w:p w:rsidR="00000000" w:rsidRDefault="0057778A">
      <w:pPr>
        <w:pStyle w:val="a6"/>
        <w:ind w:left="720" w:firstLine="567"/>
        <w:jc w:val="both"/>
      </w:pPr>
      <w:r>
        <w:t> выраженная тахикардия;</w:t>
      </w:r>
    </w:p>
    <w:p w:rsidR="00000000" w:rsidRDefault="0057778A">
      <w:pPr>
        <w:pStyle w:val="a6"/>
        <w:ind w:left="720" w:firstLine="567"/>
        <w:jc w:val="both"/>
      </w:pPr>
      <w:r>
        <w:t> нарушение функций нервной системы (адинамия, апатия, бред, эйфория);</w:t>
      </w:r>
    </w:p>
    <w:p w:rsidR="00000000" w:rsidRDefault="0057778A">
      <w:pPr>
        <w:pStyle w:val="a6"/>
        <w:ind w:left="720" w:firstLine="567"/>
        <w:jc w:val="both"/>
      </w:pPr>
      <w:r>
        <w:t> билирубинемия (до 40-80 мкмоль/л), а гипербилирубинемия 100 мкмоль/л является критической;</w:t>
      </w:r>
    </w:p>
    <w:p w:rsidR="00000000" w:rsidRDefault="0057778A">
      <w:pPr>
        <w:pStyle w:val="a6"/>
        <w:ind w:left="720" w:firstLine="567"/>
        <w:jc w:val="both"/>
      </w:pPr>
      <w:r>
        <w:t> желтушное окрашивание склер и кожи.</w:t>
      </w:r>
    </w:p>
    <w:p w:rsidR="00000000" w:rsidRDefault="0057778A">
      <w:pPr>
        <w:pStyle w:val="a6"/>
        <w:ind w:firstLine="567"/>
        <w:jc w:val="both"/>
      </w:pPr>
      <w:r>
        <w:lastRenderedPageBreak/>
        <w:t xml:space="preserve">Основой профилактики </w:t>
      </w:r>
      <w:r>
        <w:t>ранних токсикозов является выявление и устранение психогенных факторов и оздоровление женщин с хроническими заболеваниями печени, желудочно-кишечного тракта и т.д. до наступления беременности.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color w:val="FF0000"/>
        </w:rPr>
        <w:t>Слюнотечение</w:t>
      </w:r>
      <w:r>
        <w:t xml:space="preserve"> (ptyalismus) может сопровождать рвоту беременных, </w:t>
      </w:r>
      <w:r>
        <w:t>реже возникает как самостоятельная форма раннего токсикоза. При выраженном слюнотечении за сутки беременная может терять 1 л жидкости. Обильное слюнотечение приводит к обезвоживанию организма, гипопротеинемии, мацерации кожи лица, отрицательно влияет на пс</w:t>
      </w:r>
      <w:r>
        <w:t>ихику, масса тела снижается.</w:t>
      </w:r>
    </w:p>
    <w:p w:rsidR="00000000" w:rsidRDefault="0057778A">
      <w:pPr>
        <w:pStyle w:val="a6"/>
        <w:ind w:firstLine="567"/>
        <w:jc w:val="both"/>
      </w:pPr>
      <w:r>
        <w:t>Лечение выраженного слюнотечения должны проводить в стационаре. Назначают полоскание полости рта настоем шалфея, ромашки, коры дуба, раствором ментола и средства, снижающие слюноотделение (церукал, дроперидол). При большой поте</w:t>
      </w:r>
      <w:r>
        <w:t>ре жидкости назначают внутривенно капельно растворы Рингера-Локка, 5,0 % глюкозы. При значительной гипопротеинемии показано вливание растворов альбумина, плазмы. Хороший эффект достигают при проведении гипноза, иглорефлексотерапии. Для предупреждения и уст</w:t>
      </w:r>
      <w:r>
        <w:t>ранения мацерации слюной кожи лица используют смазывание ее цинковой пастой, пастой Лассара или вазелином.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color w:val="FF0000"/>
        </w:rPr>
        <w:t>Дерматозы беременных</w:t>
      </w:r>
      <w:r>
        <w:t xml:space="preserve"> – редкие формы раннего токсикоза. Это группа различных кожных заболеваний, которые возникают при беременности и проходят после е</w:t>
      </w:r>
      <w:r>
        <w:t>е окончания. Дерматозы появляются в виде зуда, крапивницы, герпетических высыпаний.</w:t>
      </w:r>
    </w:p>
    <w:p w:rsidR="00000000" w:rsidRDefault="0057778A">
      <w:pPr>
        <w:pStyle w:val="a6"/>
        <w:ind w:firstLine="567"/>
        <w:jc w:val="both"/>
      </w:pPr>
      <w:r>
        <w:t>Наиболее частой формой дерматоза является зуд беременных (pruritus gravidarum). Зуд может появляться в первые месяцы и в конце беременности, ограничиваться областью наружны</w:t>
      </w:r>
      <w:r>
        <w:t>х половых органов или распространяется по всему телу. Зуд нередко бывает мучительным, вызывает бессонницу, раздражительность или подавление настроения. Зуд при беременности необходимо дифференцировать с заболеваниями, которые сопровождаются зудом: сахарный</w:t>
      </w:r>
      <w:r>
        <w:t xml:space="preserve"> диабет, грибковые заболевания кожи, трихомониаз, аллергические реакции.</w:t>
      </w:r>
    </w:p>
    <w:p w:rsidR="00000000" w:rsidRDefault="0057778A">
      <w:pPr>
        <w:pStyle w:val="a6"/>
        <w:ind w:firstLine="567"/>
        <w:jc w:val="both"/>
      </w:pPr>
      <w:r>
        <w:t>Лечение заключается в назначении седативных средств, десенсибилизирующих (димедрола, пипольфена), витаминов В</w:t>
      </w:r>
      <w:r>
        <w:rPr>
          <w:vertAlign w:val="subscript"/>
        </w:rPr>
        <w:t>1</w:t>
      </w:r>
      <w:r>
        <w:t xml:space="preserve"> и В</w:t>
      </w:r>
      <w:r>
        <w:rPr>
          <w:vertAlign w:val="subscript"/>
        </w:rPr>
        <w:t>6</w:t>
      </w:r>
      <w:r>
        <w:t>, общее ультрафиолетового облучения.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color w:val="FF0000"/>
        </w:rPr>
        <w:t>Тетания беременных</w:t>
      </w:r>
      <w:r>
        <w:t xml:space="preserve"> (tetania gravidarum) проявляется судорогами мышц верхних конечностей ("рука акушера"), реже нижних конечностей ("нога балерины"), лица ("рыбий рот"). В основе заболевания лежит понижение или выпадение функции паращитовидных желез и, как следствие, нарушен</w:t>
      </w:r>
      <w:r>
        <w:t>ие обмена кальция. При тяжелом течении заболевания или обострении во время беременности латентно протекающей тетании, следует прервать беременность. Для лечения применяют паратиреоидин, кальций, дигидротахистерол, витамин D.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color w:val="FF0000"/>
        </w:rPr>
        <w:t>Остеомаляция беременных</w:t>
      </w:r>
      <w:r>
        <w:t xml:space="preserve"> (osteom</w:t>
      </w:r>
      <w:r>
        <w:t>alacia gravidarum) в выраженной форме встречается крайне редко. Беременность в этих случаях абсолютно противопоказана. Чаще наблюдают стертую форму остеомаляции - симфизиопатию. Заболевание связано с нарушением фосфорно-кальциевого обмена, декальцинацией и</w:t>
      </w:r>
      <w:r>
        <w:t xml:space="preserve"> размягчением костей скелета. Основными проявлениями симфизиопатии являются боли в ногах, костях таза, мышцах. Появляются общая слабость, утомляемость, парестезии; изменяется походка ("утиная"), повышаются сухожильные рефлексы. Пальпация лобкового сочленен</w:t>
      </w:r>
      <w:r>
        <w:t>ия болезненна. На рентгенограммах таза иногда обнаруживают расхождение костей лобкового сочленения, однако, в отличие от истинной остеомаляции в костях отсутствуют деструктивные изменения. Стертая форма остеомаляции – проявление гиповитаминоза D.</w:t>
      </w:r>
    </w:p>
    <w:p w:rsidR="00000000" w:rsidRDefault="0057778A">
      <w:pPr>
        <w:pStyle w:val="a6"/>
        <w:ind w:firstLine="567"/>
        <w:jc w:val="both"/>
      </w:pPr>
      <w:r>
        <w:t>Лечение з</w:t>
      </w:r>
      <w:r>
        <w:t>аболевания. Хороший эффект дает применение витамина D, рыбьего жира, общего ультрафиолетового облучения, общего и местного, прогестерона.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color w:val="FF0000"/>
        </w:rPr>
        <w:lastRenderedPageBreak/>
        <w:t>Острая желтая атрофия печени.</w:t>
      </w:r>
      <w:r>
        <w:t xml:space="preserve"> (atrophia heratis blava acuta) наблюдается чрезвычайно редко и может быть исходом чрезме</w:t>
      </w:r>
      <w:r>
        <w:t>рной рвоты беременных или возникнуть независимо от нее. В результате жирового и белкового перерождения печеночных клеток происходит уменьшение размеров печени, возникновение некрозов и атрофии печени. Заболевание крайне тяжелое (интенсивная желтуха, зуд, р</w:t>
      </w:r>
      <w:r>
        <w:t>вота, судорожные припадки, кома), обычно приводит к гибели больной.</w:t>
      </w:r>
    </w:p>
    <w:p w:rsidR="00000000" w:rsidRDefault="0057778A">
      <w:pPr>
        <w:pStyle w:val="a6"/>
        <w:ind w:firstLine="567"/>
        <w:jc w:val="both"/>
      </w:pPr>
      <w:r>
        <w:t>Лечение заключается в немедленном прерывании беременности, хотя и прерывание беременности редко улучшает прогноз.</w:t>
      </w:r>
    </w:p>
    <w:p w:rsidR="00000000" w:rsidRDefault="0057778A">
      <w:pPr>
        <w:pStyle w:val="a6"/>
        <w:ind w:firstLine="567"/>
        <w:jc w:val="both"/>
      </w:pPr>
      <w:r>
        <w:rPr>
          <w:b/>
          <w:bCs/>
          <w:color w:val="FF0000"/>
        </w:rPr>
        <w:t>Бронхиальная астма беременных</w:t>
      </w:r>
      <w:r>
        <w:t xml:space="preserve"> (asthma bronchiale gravidarum) наблюдается о</w:t>
      </w:r>
      <w:r>
        <w:t>чень редко. Причиной возникновения бронхиальной астмы является гипофункция паращитовидных желез и нарушение кальциевого обмена.</w:t>
      </w:r>
    </w:p>
    <w:p w:rsidR="00000000" w:rsidRDefault="0057778A">
      <w:pPr>
        <w:pStyle w:val="a6"/>
        <w:ind w:firstLine="567"/>
        <w:jc w:val="both"/>
      </w:pPr>
      <w:r>
        <w:rPr>
          <w:i/>
          <w:iCs/>
        </w:rPr>
        <w:t xml:space="preserve">Лечение: </w:t>
      </w:r>
      <w:r>
        <w:t>препараты кальция, витамины группы “В”, седативные средства, обычно, дают положительный результат.</w:t>
      </w:r>
    </w:p>
    <w:p w:rsidR="00000000" w:rsidRDefault="0057778A">
      <w:pPr>
        <w:pStyle w:val="a6"/>
        <w:ind w:firstLine="567"/>
        <w:jc w:val="both"/>
      </w:pPr>
      <w:r>
        <w:t>Бронхиальную астму б</w:t>
      </w:r>
      <w:r>
        <w:t>еременных необходимо дифференцировать с обострением бронхиальной астмы, существовавшей до беременности.</w:t>
      </w:r>
    </w:p>
    <w:p w:rsidR="00000000" w:rsidRDefault="0057778A">
      <w:pPr>
        <w:pStyle w:val="a6"/>
        <w:ind w:firstLine="567"/>
        <w:jc w:val="both"/>
      </w:pPr>
      <w:r>
        <w:t>Профилактика ранних токсикозов заключается в своевременном лечении хронических заболеваний, устранении психических нагрузок, неблагоприятных воздействий</w:t>
      </w:r>
      <w:r>
        <w:t xml:space="preserve"> внешней среды.</w:t>
      </w:r>
    </w:p>
    <w:p w:rsidR="00000000" w:rsidRDefault="0057778A">
      <w:pPr>
        <w:pStyle w:val="a6"/>
        <w:ind w:firstLine="567"/>
        <w:jc w:val="both"/>
      </w:pPr>
      <w:r>
        <w:t>Большое значение имеет ранняя диагностика и лечение начальных (легких) проявлений токсикоза, а, следовательно, предупреждение развития тяжелых форм заболеваний.</w:t>
      </w:r>
    </w:p>
    <w:p w:rsidR="00000000" w:rsidRDefault="0057778A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57778A">
      <w:pPr>
        <w:pStyle w:val="a6"/>
        <w:ind w:left="1440" w:firstLine="567"/>
        <w:jc w:val="both"/>
      </w:pPr>
      <w:r>
        <w:t>1. Что называют гестозами?</w:t>
      </w:r>
    </w:p>
    <w:p w:rsidR="00000000" w:rsidRDefault="0057778A">
      <w:pPr>
        <w:pStyle w:val="a6"/>
        <w:ind w:left="1440" w:firstLine="567"/>
        <w:jc w:val="both"/>
      </w:pPr>
      <w:r>
        <w:t>2. Классификация гестозов в зав</w:t>
      </w:r>
      <w:r>
        <w:t>исимости от срока беременности.</w:t>
      </w:r>
    </w:p>
    <w:p w:rsidR="00000000" w:rsidRDefault="0057778A">
      <w:pPr>
        <w:pStyle w:val="a6"/>
        <w:ind w:left="1440" w:firstLine="567"/>
        <w:jc w:val="both"/>
      </w:pPr>
      <w:r>
        <w:t>3. Назвать основные формы ранних токсикозов.</w:t>
      </w:r>
    </w:p>
    <w:p w:rsidR="00000000" w:rsidRDefault="0057778A">
      <w:pPr>
        <w:pStyle w:val="a6"/>
        <w:ind w:left="1440" w:firstLine="567"/>
        <w:jc w:val="both"/>
      </w:pPr>
      <w:r>
        <w:t>4. Классификация рвоты беременных по степени тяжести.</w:t>
      </w:r>
    </w:p>
    <w:p w:rsidR="00000000" w:rsidRDefault="0057778A">
      <w:pPr>
        <w:pStyle w:val="a6"/>
        <w:ind w:left="1440" w:firstLine="567"/>
        <w:jc w:val="both"/>
      </w:pPr>
      <w:r>
        <w:t>5. Клиника легкой степени рвоты беременных.</w:t>
      </w:r>
    </w:p>
    <w:p w:rsidR="00000000" w:rsidRDefault="0057778A">
      <w:pPr>
        <w:pStyle w:val="a6"/>
        <w:ind w:left="1440" w:firstLine="567"/>
        <w:jc w:val="both"/>
      </w:pPr>
      <w:r>
        <w:t>6. Клиника средней степени рвоты беременных.</w:t>
      </w:r>
    </w:p>
    <w:p w:rsidR="00000000" w:rsidRDefault="0057778A">
      <w:pPr>
        <w:pStyle w:val="a6"/>
        <w:ind w:left="1440" w:firstLine="567"/>
        <w:jc w:val="both"/>
      </w:pPr>
      <w:r>
        <w:t>7. Клиника тяжелой степени рвоты бер</w:t>
      </w:r>
      <w:r>
        <w:t>еменных.</w:t>
      </w:r>
    </w:p>
    <w:p w:rsidR="00000000" w:rsidRDefault="0057778A">
      <w:pPr>
        <w:pStyle w:val="a6"/>
        <w:ind w:left="1440" w:firstLine="567"/>
        <w:jc w:val="both"/>
      </w:pPr>
      <w:r>
        <w:t>8. Объем лечения при легкой степени рвоты беременных.</w:t>
      </w:r>
    </w:p>
    <w:p w:rsidR="00000000" w:rsidRDefault="0057778A">
      <w:pPr>
        <w:pStyle w:val="a6"/>
        <w:ind w:left="1440" w:firstLine="567"/>
        <w:jc w:val="both"/>
      </w:pPr>
      <w:r>
        <w:t>9. Объем лечения при средней степени рвоты беременных.</w:t>
      </w:r>
    </w:p>
    <w:p w:rsidR="00000000" w:rsidRDefault="0057778A">
      <w:pPr>
        <w:pStyle w:val="a6"/>
        <w:ind w:left="1440" w:firstLine="567"/>
        <w:jc w:val="both"/>
      </w:pPr>
      <w:r>
        <w:t>10. Объем лечения при тяжелой степени рвоты беременных.</w:t>
      </w:r>
    </w:p>
    <w:p w:rsidR="00000000" w:rsidRDefault="0057778A">
      <w:pPr>
        <w:pStyle w:val="a6"/>
        <w:ind w:left="1440" w:firstLine="567"/>
        <w:jc w:val="both"/>
      </w:pPr>
      <w:r>
        <w:t>11. Показания к прерыванию беременности при рвоте беременных.</w:t>
      </w:r>
    </w:p>
    <w:p w:rsidR="00000000" w:rsidRDefault="0057778A">
      <w:pPr>
        <w:pStyle w:val="a6"/>
        <w:ind w:left="1440" w:firstLine="567"/>
        <w:jc w:val="both"/>
      </w:pPr>
      <w:r>
        <w:t>12. Профилактика ран</w:t>
      </w:r>
      <w:r>
        <w:t>них токсикозов.</w:t>
      </w:r>
    </w:p>
    <w:p w:rsidR="00000000" w:rsidRDefault="0057778A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57778A">
      <w:pPr>
        <w:pStyle w:val="a6"/>
        <w:ind w:firstLine="567"/>
        <w:jc w:val="both"/>
      </w:pPr>
      <w:r>
        <w:t>В отделение поступила беременная Д. 24 лет с жалобами на тошноту, рвоту 3-5 раз в сутки, чаще после приема пищи, снижение аппетита, раздражительность. За последнюю неделю снижение массы тела на 1 кг. Срок беременности 6-7 недель.</w:t>
      </w:r>
      <w:r>
        <w:t xml:space="preserve"> Общее состояние при </w:t>
      </w:r>
      <w:r>
        <w:lastRenderedPageBreak/>
        <w:t>поступлении удовлетворительное. Температура тема нормальная. Кожные покровы и слизистые обычной окраски и влажности. Пульс 90 уд. в мин. Артериальное давление 120/70 мм рт.ст. Анализ крови и мочи без патологических изменений.</w:t>
      </w:r>
    </w:p>
    <w:p w:rsidR="00000000" w:rsidRDefault="0057778A">
      <w:pPr>
        <w:pStyle w:val="a6"/>
        <w:ind w:firstLine="567"/>
        <w:jc w:val="both"/>
      </w:pPr>
      <w:r>
        <w:t xml:space="preserve">Диагноз? </w:t>
      </w:r>
      <w:r>
        <w:t>План ведения?</w:t>
      </w:r>
    </w:p>
    <w:p w:rsidR="00000000" w:rsidRDefault="0057778A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57778A">
      <w:pPr>
        <w:pStyle w:val="a6"/>
        <w:ind w:firstLine="567"/>
        <w:jc w:val="both"/>
      </w:pPr>
      <w:r>
        <w:t>В отделение доставлена машиной скорой помощи беременная Т. 21 года. Беременность 7-8 нед. Жалобы на постоянную тошноту, рвоту 15-16 раз и чаще в сутки, пищу не удерживает. Слабость, апатия. За 10 дней снижение массы тела на 3,5 кг.</w:t>
      </w:r>
      <w:r>
        <w:t xml:space="preserve"> Состояние больной средней тяжести, истощена, изо рта запах ацетона. Температура субфебрильная, кожа желтушная, сухая. Пульс 110 уд., слабого наполнения и напряжения. Артериальное давление 90/60 мм рт. ст. Тоны сердца приглушены. Язык обложен белым налетом</w:t>
      </w:r>
      <w:r>
        <w:t>, сухой. Живот мягкий, безболезненный. Диурез снижен до 400 мл в сутки. В крови повышение остаточного азота, мочевины, билирубина, снижение содержания альбуминов, холестерина, калия, хлоридов. В анализе мочи протеино- и цилиндрурия, реакция на ацетон резко</w:t>
      </w:r>
      <w:r>
        <w:t xml:space="preserve"> положительная.</w:t>
      </w:r>
    </w:p>
    <w:p w:rsidR="0057778A" w:rsidRDefault="0057778A">
      <w:pPr>
        <w:pStyle w:val="a6"/>
        <w:ind w:firstLine="567"/>
        <w:jc w:val="both"/>
        <w:rPr>
          <w:lang w:val="en-US"/>
        </w:rPr>
      </w:pPr>
      <w:r>
        <w:t>Диагноз? План ведения?</w:t>
      </w:r>
    </w:p>
    <w:sectPr w:rsidR="005777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2B"/>
    <w:rsid w:val="0026012B"/>
    <w:rsid w:val="005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Documents%20and%20Settings/Administrator.IVKOKO/Desktop/image18.jpg" TargetMode="Externa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2470</Words>
  <Characters>14079</Characters>
  <Application>Microsoft Office Word</Application>
  <DocSecurity>0</DocSecurity>
  <Lines>117</Lines>
  <Paragraphs>33</Paragraphs>
  <ScaleCrop>false</ScaleCrop>
  <Company>МИР ЗДОРОВЬЯ</Company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тема№13</dc:title>
  <dc:creator>Иван Кокоткин</dc:creator>
  <cp:lastModifiedBy>Igor</cp:lastModifiedBy>
  <cp:revision>2</cp:revision>
  <dcterms:created xsi:type="dcterms:W3CDTF">2024-10-08T08:33:00Z</dcterms:created>
  <dcterms:modified xsi:type="dcterms:W3CDTF">2024-10-08T08:33:00Z</dcterms:modified>
</cp:coreProperties>
</file>