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A0D">
      <w:pPr>
        <w:pStyle w:val="a3"/>
        <w:rPr>
          <w:b/>
        </w:rPr>
      </w:pPr>
      <w:bookmarkStart w:id="0" w:name="_GoBack"/>
      <w:bookmarkEnd w:id="0"/>
      <w:r>
        <w:rPr>
          <w:b/>
        </w:rPr>
        <w:t>РЕВМАТИЗМ</w:t>
      </w:r>
    </w:p>
    <w:p w:rsidR="00000000" w:rsidRDefault="00780A0D">
      <w:pPr>
        <w:jc w:val="center"/>
        <w:rPr>
          <w:rFonts w:ascii="Arial" w:hAnsi="Arial"/>
          <w:i/>
          <w:sz w:val="24"/>
        </w:rPr>
      </w:pPr>
    </w:p>
    <w:p w:rsidR="00000000" w:rsidRDefault="00780A0D">
      <w:pPr>
        <w:pStyle w:val="a4"/>
      </w:pPr>
      <w:r>
        <w:t xml:space="preserve">     </w:t>
      </w:r>
      <w:r>
        <w:rPr>
          <w:u w:val="single"/>
        </w:rPr>
        <w:t>Ревматизм</w:t>
      </w:r>
      <w:r>
        <w:t xml:space="preserve"> – хроническое инфекционно-аллергическое заболевание; чаще всего начинается в детском и юношеском возрасте.  У детей в возрасте до 1 года ревматизм наблюдается исключительно редко, чаще встречается у детей  дошкольного возраста, ос</w:t>
      </w:r>
      <w:r>
        <w:t>обенно в возрасте 10-15 лет. Среди школьников заболеваемость ревматизмом составляет от 1 до 3 %.</w:t>
      </w:r>
    </w:p>
    <w:p w:rsidR="00000000" w:rsidRDefault="0078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b/>
          <w:i/>
          <w:sz w:val="24"/>
        </w:rPr>
        <w:t>Этиология.</w:t>
      </w:r>
      <w:r>
        <w:rPr>
          <w:rFonts w:ascii="Arial" w:hAnsi="Arial"/>
          <w:i/>
          <w:sz w:val="24"/>
        </w:rPr>
        <w:t xml:space="preserve"> Развитие болезни связывают со стрептококком. Обычно ревматизму предшествует ангина, острые респираторные заболевания. У больных ревматизмом нер</w:t>
      </w:r>
      <w:r>
        <w:rPr>
          <w:rFonts w:ascii="Arial" w:hAnsi="Arial"/>
          <w:i/>
          <w:sz w:val="24"/>
        </w:rPr>
        <w:t>едко выявляется хронический тонзиллит, кариес зубов.</w:t>
      </w:r>
    </w:p>
    <w:p w:rsidR="00000000" w:rsidRDefault="0078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b/>
          <w:i/>
          <w:sz w:val="24"/>
        </w:rPr>
        <w:t>Патогенез.</w:t>
      </w:r>
      <w:r>
        <w:rPr>
          <w:rFonts w:ascii="Arial" w:hAnsi="Arial"/>
          <w:i/>
          <w:sz w:val="24"/>
        </w:rPr>
        <w:t xml:space="preserve"> Для ревматизма характерно системное поражение соединительной ткани, преимущественно сердца и сосудов. В развитии заболевания  большое значение имеет состояние микроорганизма. Возбудитель </w:t>
      </w:r>
      <w:r>
        <w:rPr>
          <w:rFonts w:ascii="Arial" w:hAnsi="Arial"/>
          <w:i/>
          <w:sz w:val="24"/>
        </w:rPr>
        <w:t>вызывает заболевание  только в случае повышенной чувствительности к нему. Имеется ряд данных, свидетельствующих об аллергической природе ревматизма. Так, клинические симптомы ревматизма развиваются обычно спустя 7-15 дней после перенесенной стрептококковой</w:t>
      </w:r>
      <w:r>
        <w:rPr>
          <w:rFonts w:ascii="Arial" w:hAnsi="Arial"/>
          <w:i/>
          <w:sz w:val="24"/>
        </w:rPr>
        <w:t xml:space="preserve"> ангины. Кожные сыпи, артриты, повышение сосудистой проницаемости, склонность к рецидивам также характеризует ревматизм как заболевание аллергической природы. </w:t>
      </w:r>
    </w:p>
    <w:p w:rsidR="00000000" w:rsidRDefault="0078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b/>
          <w:i/>
          <w:sz w:val="24"/>
        </w:rPr>
        <w:t xml:space="preserve">Классификация ревматизма. </w:t>
      </w:r>
      <w:r>
        <w:rPr>
          <w:rFonts w:ascii="Arial" w:hAnsi="Arial"/>
          <w:i/>
          <w:sz w:val="24"/>
        </w:rPr>
        <w:t>В используемой классификации ревматизма (</w:t>
      </w:r>
      <w:proofErr w:type="spellStart"/>
      <w:r>
        <w:rPr>
          <w:rFonts w:ascii="Arial" w:hAnsi="Arial"/>
          <w:i/>
          <w:sz w:val="24"/>
        </w:rPr>
        <w:t>А.И.Нестеров</w:t>
      </w:r>
      <w:proofErr w:type="spellEnd"/>
      <w:r>
        <w:rPr>
          <w:rFonts w:ascii="Arial" w:hAnsi="Arial"/>
          <w:i/>
          <w:sz w:val="24"/>
        </w:rPr>
        <w:t>, 1964) за о</w:t>
      </w:r>
      <w:r>
        <w:rPr>
          <w:rFonts w:ascii="Arial" w:hAnsi="Arial"/>
          <w:i/>
          <w:sz w:val="24"/>
        </w:rPr>
        <w:t>снову принимается фаза болезни. Различают две фазы: активную и неактивную; при этом выделяют три степени активности процесса.</w:t>
      </w:r>
    </w:p>
    <w:p w:rsidR="00000000" w:rsidRDefault="00780A0D">
      <w:pPr>
        <w:rPr>
          <w:rFonts w:ascii="Arial" w:hAnsi="Arial"/>
          <w:i/>
          <w:sz w:val="24"/>
        </w:rPr>
      </w:pPr>
    </w:p>
    <w:p w:rsidR="00000000" w:rsidRDefault="00780A0D">
      <w:pPr>
        <w:pStyle w:val="1"/>
      </w:pPr>
      <w:r>
        <w:t>КЛАССИФИКАЦИЯ РЕВМАТИЗМА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2410"/>
        <w:gridCol w:w="198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Фаза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Клинико-анатомическая характеристика поражений</w:t>
            </w:r>
          </w:p>
          <w:p w:rsidR="00000000" w:rsidRDefault="00780A0D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Характер течения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Функциональная характер</w:t>
            </w:r>
            <w:r>
              <w:rPr>
                <w:rFonts w:ascii="Arial" w:hAnsi="Arial"/>
                <w:b/>
                <w:i/>
                <w:sz w:val="18"/>
              </w:rPr>
              <w:t>истика кровообращения</w:t>
            </w: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сердца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других систем и органов</w:t>
            </w:r>
          </w:p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80A0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jc w:val="center"/>
              <w:rPr>
                <w:rFonts w:ascii="Arial" w:hAnsi="Arial"/>
                <w:i/>
              </w:rPr>
            </w:pP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Активная (</w:t>
            </w:r>
            <w:r>
              <w:rPr>
                <w:rFonts w:ascii="Arial" w:hAnsi="Arial"/>
                <w:i/>
                <w:lang w:val="en-US"/>
              </w:rPr>
              <w:t>I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lang w:val="en-US"/>
              </w:rPr>
              <w:t>II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lang w:val="en-US"/>
              </w:rPr>
              <w:t>III</w:t>
            </w:r>
            <w:r>
              <w:rPr>
                <w:rFonts w:ascii="Arial" w:hAnsi="Arial"/>
                <w:i/>
              </w:rPr>
              <w:t xml:space="preserve"> степени активности)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rPr>
                <w:rFonts w:ascii="Arial" w:hAnsi="Arial"/>
                <w:b/>
                <w:i/>
                <w:sz w:val="18"/>
              </w:rPr>
            </w:pPr>
          </w:p>
          <w:p w:rsidR="00000000" w:rsidRDefault="00780A0D">
            <w:pPr>
              <w:pStyle w:val="20"/>
            </w:pPr>
            <w:r>
              <w:t>А) Ревмокардит первичный.*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Б) Ревмокардит возвратный.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В) Ревматизм без явных сердечных изменений.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Полиартрит, </w:t>
            </w:r>
            <w:proofErr w:type="spellStart"/>
            <w:r>
              <w:rPr>
                <w:rFonts w:ascii="Arial" w:hAnsi="Arial"/>
                <w:i/>
              </w:rPr>
              <w:t>серозит</w:t>
            </w:r>
            <w:proofErr w:type="spellEnd"/>
            <w:r>
              <w:rPr>
                <w:rFonts w:ascii="Arial" w:hAnsi="Arial"/>
                <w:i/>
              </w:rPr>
              <w:t xml:space="preserve">, хорея, энцефалит, церебральный </w:t>
            </w:r>
            <w:proofErr w:type="spellStart"/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</w:rPr>
              <w:t>аскулит</w:t>
            </w:r>
            <w:proofErr w:type="spellEnd"/>
            <w:r>
              <w:rPr>
                <w:rFonts w:ascii="Arial" w:hAnsi="Arial"/>
                <w:i/>
              </w:rPr>
              <w:t xml:space="preserve">, нервно-психические расстройства, </w:t>
            </w:r>
            <w:proofErr w:type="spellStart"/>
            <w:r>
              <w:rPr>
                <w:rFonts w:ascii="Arial" w:hAnsi="Arial"/>
                <w:i/>
              </w:rPr>
              <w:t>васкулит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гломерулонефрит</w:t>
            </w:r>
            <w:proofErr w:type="spellEnd"/>
            <w:r>
              <w:rPr>
                <w:rFonts w:ascii="Arial" w:hAnsi="Arial"/>
                <w:i/>
              </w:rPr>
              <w:t xml:space="preserve">, гепатит, пневмония, иридоциклит, </w:t>
            </w:r>
            <w:proofErr w:type="spellStart"/>
            <w:r>
              <w:rPr>
                <w:rFonts w:ascii="Arial" w:hAnsi="Arial"/>
                <w:i/>
              </w:rPr>
              <w:t>тиреоидит</w:t>
            </w:r>
            <w:proofErr w:type="spellEnd"/>
            <w:r>
              <w:rPr>
                <w:rFonts w:ascii="Arial" w:hAnsi="Arial"/>
                <w:i/>
              </w:rPr>
              <w:t>, поражения кожи.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pStyle w:val="20"/>
            </w:pPr>
            <w:r>
              <w:t>Острое, подострое, затяжно-вялое, непрерывно рецидивирующее, латентное.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Н</w:t>
            </w:r>
            <w:r>
              <w:rPr>
                <w:rFonts w:ascii="Arial" w:hAnsi="Arial"/>
                <w:i/>
                <w:sz w:val="16"/>
              </w:rPr>
              <w:t>о</w:t>
            </w:r>
            <w:r>
              <w:rPr>
                <w:rFonts w:ascii="Arial" w:hAnsi="Arial"/>
                <w:i/>
              </w:rPr>
              <w:t xml:space="preserve"> – нет недостаточности </w:t>
            </w:r>
            <w:proofErr w:type="spellStart"/>
            <w:r>
              <w:rPr>
                <w:rFonts w:ascii="Arial" w:hAnsi="Arial"/>
                <w:i/>
              </w:rPr>
              <w:t>кровобращения</w:t>
            </w:r>
            <w:proofErr w:type="spellEnd"/>
            <w:r>
              <w:rPr>
                <w:rFonts w:ascii="Arial" w:hAnsi="Arial"/>
                <w:i/>
              </w:rPr>
              <w:t>;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Н</w:t>
            </w:r>
            <w:r>
              <w:rPr>
                <w:rFonts w:ascii="Arial" w:hAnsi="Arial"/>
                <w:i/>
                <w:sz w:val="16"/>
              </w:rPr>
              <w:t>1</w:t>
            </w:r>
            <w:r>
              <w:rPr>
                <w:rFonts w:ascii="Arial" w:hAnsi="Arial"/>
                <w:i/>
              </w:rPr>
              <w:t xml:space="preserve"> – недоста</w:t>
            </w:r>
            <w:r>
              <w:rPr>
                <w:rFonts w:ascii="Arial" w:hAnsi="Arial"/>
                <w:i/>
              </w:rPr>
              <w:t xml:space="preserve">точность кровообращения </w:t>
            </w:r>
            <w:r>
              <w:rPr>
                <w:rFonts w:ascii="Arial" w:hAnsi="Arial"/>
                <w:i/>
                <w:lang w:val="en-US"/>
              </w:rPr>
              <w:t xml:space="preserve">I </w:t>
            </w:r>
            <w:r>
              <w:rPr>
                <w:rFonts w:ascii="Arial" w:hAnsi="Arial"/>
                <w:i/>
              </w:rPr>
              <w:t>степени;</w:t>
            </w:r>
          </w:p>
          <w:p w:rsidR="00000000" w:rsidRDefault="00780A0D">
            <w:pPr>
              <w:ind w:right="-14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Н</w:t>
            </w:r>
            <w:r>
              <w:rPr>
                <w:rFonts w:ascii="Arial" w:hAnsi="Arial"/>
                <w:i/>
                <w:sz w:val="16"/>
              </w:rPr>
              <w:t>2</w:t>
            </w:r>
            <w:r>
              <w:rPr>
                <w:rFonts w:ascii="Arial" w:hAnsi="Arial"/>
                <w:i/>
              </w:rPr>
              <w:t xml:space="preserve"> – </w:t>
            </w:r>
            <w:r>
              <w:rPr>
                <w:rFonts w:ascii="Arial" w:hAnsi="Arial"/>
                <w:i/>
                <w:lang w:val="en-US"/>
              </w:rPr>
              <w:t>II</w:t>
            </w:r>
            <w:r>
              <w:rPr>
                <w:rFonts w:ascii="Arial" w:hAnsi="Arial"/>
                <w:i/>
              </w:rPr>
              <w:t xml:space="preserve"> степени;</w:t>
            </w:r>
          </w:p>
          <w:p w:rsidR="00000000" w:rsidRDefault="00780A0D">
            <w:pPr>
              <w:ind w:right="-14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Н</w:t>
            </w:r>
            <w:r>
              <w:rPr>
                <w:rFonts w:ascii="Arial" w:hAnsi="Arial"/>
                <w:i/>
                <w:sz w:val="16"/>
              </w:rPr>
              <w:t>3</w:t>
            </w:r>
            <w:r>
              <w:rPr>
                <w:rFonts w:ascii="Arial" w:hAnsi="Arial"/>
                <w:i/>
              </w:rPr>
              <w:t xml:space="preserve"> – </w:t>
            </w:r>
            <w:r>
              <w:rPr>
                <w:rFonts w:ascii="Arial" w:hAnsi="Arial"/>
                <w:i/>
                <w:lang w:val="en-US"/>
              </w:rPr>
              <w:t>III</w:t>
            </w:r>
            <w:r>
              <w:rPr>
                <w:rFonts w:ascii="Arial" w:hAnsi="Arial"/>
                <w:i/>
              </w:rPr>
              <w:t xml:space="preserve"> степени.</w:t>
            </w:r>
          </w:p>
          <w:p w:rsidR="00000000" w:rsidRDefault="00780A0D">
            <w:pPr>
              <w:ind w:right="-147"/>
              <w:rPr>
                <w:rFonts w:ascii="Arial" w:hAnsi="Arial"/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pStyle w:val="2"/>
            </w:pPr>
            <w:r>
              <w:t>Неактивная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pStyle w:val="20"/>
            </w:pPr>
            <w:r>
              <w:t>А) Кардиосклероз ревматический</w:t>
            </w: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Б) Порок сердца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Последствия и остаточные явления перенесенных внесердечных поражений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  <w:p w:rsidR="00000000" w:rsidRDefault="00780A0D">
            <w:pPr>
              <w:rPr>
                <w:rFonts w:ascii="Arial" w:hAnsi="Arial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A0D">
            <w:pPr>
              <w:rPr>
                <w:rFonts w:ascii="Arial" w:hAnsi="Arial"/>
                <w:i/>
              </w:rPr>
            </w:pPr>
          </w:p>
        </w:tc>
      </w:tr>
    </w:tbl>
    <w:p w:rsidR="00000000" w:rsidRDefault="00780A0D">
      <w:pPr>
        <w:numPr>
          <w:ilvl w:val="0"/>
          <w:numId w:val="1"/>
        </w:num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По возможности  уточнить ведущую локализацию пораж</w:t>
      </w:r>
      <w:r>
        <w:rPr>
          <w:rFonts w:ascii="Arial" w:hAnsi="Arial"/>
          <w:i/>
          <w:sz w:val="18"/>
        </w:rPr>
        <w:t xml:space="preserve">ения (миокардит, эндокардит, перикардит, </w:t>
      </w:r>
      <w:proofErr w:type="spellStart"/>
      <w:r>
        <w:rPr>
          <w:rFonts w:ascii="Arial" w:hAnsi="Arial"/>
          <w:i/>
          <w:sz w:val="18"/>
        </w:rPr>
        <w:t>панкардит</w:t>
      </w:r>
      <w:proofErr w:type="spellEnd"/>
      <w:r>
        <w:rPr>
          <w:rFonts w:ascii="Arial" w:hAnsi="Arial"/>
          <w:i/>
          <w:sz w:val="18"/>
        </w:rPr>
        <w:t>), указать количество приступов, а также отметить, имеется ли клапанный порок (какой).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Клиническая картина.</w:t>
      </w:r>
      <w:r>
        <w:rPr>
          <w:rFonts w:ascii="Arial" w:hAnsi="Arial"/>
          <w:i/>
          <w:sz w:val="24"/>
        </w:rPr>
        <w:t xml:space="preserve"> Клинические проявления ревматизма у детей отличаются чрезвычайно большим разнообразием. Начало бол</w:t>
      </w:r>
      <w:r>
        <w:rPr>
          <w:rFonts w:ascii="Arial" w:hAnsi="Arial"/>
          <w:i/>
          <w:sz w:val="24"/>
        </w:rPr>
        <w:t>езни может быть острым, подострым или латентным (незаметным). При остром начале болезни повышается температура тела, появляются общее недомогание, вялость, дети старшего возраста отмечают боли в области сердца, некоторые из них – боли в области суставов. П</w:t>
      </w:r>
      <w:r>
        <w:rPr>
          <w:rFonts w:ascii="Arial" w:hAnsi="Arial"/>
          <w:i/>
          <w:sz w:val="24"/>
        </w:rPr>
        <w:t xml:space="preserve">ри подостром  и особенно латентном течении клиническая картина начинающегося заболевания протекает с </w:t>
      </w:r>
      <w:proofErr w:type="spellStart"/>
      <w:r>
        <w:rPr>
          <w:rFonts w:ascii="Arial" w:hAnsi="Arial"/>
          <w:i/>
          <w:sz w:val="24"/>
        </w:rPr>
        <w:t>нерезко</w:t>
      </w:r>
      <w:proofErr w:type="spellEnd"/>
      <w:r>
        <w:rPr>
          <w:rFonts w:ascii="Arial" w:hAnsi="Arial"/>
          <w:i/>
          <w:sz w:val="24"/>
        </w:rPr>
        <w:t xml:space="preserve"> выраженными симптомами и нередко заболевание остается незамеченным.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</w:t>
      </w:r>
      <w:r>
        <w:rPr>
          <w:rFonts w:ascii="Arial" w:hAnsi="Arial"/>
          <w:i/>
          <w:sz w:val="24"/>
        </w:rPr>
        <w:t>Одним из основных проявлений ревматизма являются признаки поражения сердеч</w:t>
      </w:r>
      <w:r>
        <w:rPr>
          <w:rFonts w:ascii="Arial" w:hAnsi="Arial"/>
          <w:i/>
          <w:sz w:val="24"/>
        </w:rPr>
        <w:t xml:space="preserve">но-сосудистой системы. На первом месте по частоте поражения стоит миокард (миокардит), затем </w:t>
      </w:r>
      <w:proofErr w:type="spellStart"/>
      <w:r>
        <w:rPr>
          <w:rFonts w:ascii="Arial" w:hAnsi="Arial"/>
          <w:i/>
          <w:sz w:val="24"/>
        </w:rPr>
        <w:t>эндокарт</w:t>
      </w:r>
      <w:proofErr w:type="spellEnd"/>
      <w:r>
        <w:rPr>
          <w:rFonts w:ascii="Arial" w:hAnsi="Arial"/>
          <w:i/>
          <w:sz w:val="24"/>
        </w:rPr>
        <w:t xml:space="preserve"> (эндокардит) и реже страдает перикард (перикардит). Динамика сердечных поражений у детей бывает различной. В некоторых случаях поражение мио- или </w:t>
      </w:r>
      <w:proofErr w:type="spellStart"/>
      <w:r>
        <w:rPr>
          <w:rFonts w:ascii="Arial" w:hAnsi="Arial"/>
          <w:i/>
          <w:sz w:val="24"/>
        </w:rPr>
        <w:t>эндокарт</w:t>
      </w:r>
      <w:r>
        <w:rPr>
          <w:rFonts w:ascii="Arial" w:hAnsi="Arial"/>
          <w:i/>
          <w:sz w:val="24"/>
        </w:rPr>
        <w:t>а</w:t>
      </w:r>
      <w:proofErr w:type="spellEnd"/>
      <w:r>
        <w:rPr>
          <w:rFonts w:ascii="Arial" w:hAnsi="Arial"/>
          <w:i/>
          <w:sz w:val="24"/>
        </w:rPr>
        <w:t xml:space="preserve"> в последующем претерпевает обратное развитие, исчезают клинические симптомы: шумы, расширение границ сердца. В других случаях сформировавшееся поражение клапана надолго стабилизируется или очень медленно прогрессирует. У части детей может быстро прогресс</w:t>
      </w:r>
      <w:r>
        <w:rPr>
          <w:rFonts w:ascii="Arial" w:hAnsi="Arial"/>
          <w:i/>
          <w:sz w:val="24"/>
        </w:rPr>
        <w:t>ировать, вызывая расстройства кровообращения. Чаще тяжелое поражение сердца  наблюдается при повторных рецидивах, сопровождаясь исхуданием ребенка, физической слабостью, анемией. С возрастом наклонность к рецидиву уменьшается.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Ревматизм является одной</w:t>
      </w:r>
      <w:r>
        <w:rPr>
          <w:rFonts w:ascii="Arial" w:hAnsi="Arial"/>
          <w:i/>
          <w:sz w:val="24"/>
        </w:rPr>
        <w:t xml:space="preserve"> из основных причин формирования пороков сердца у детей. Процесс захватывает прежде всего левый предсердно-желудочковый (двустворчатый) клапан, наиболее часто развивается его недостаточность. При дальнейшем прогрессировании заболевания возможно развитие тя</w:t>
      </w:r>
      <w:r>
        <w:rPr>
          <w:rFonts w:ascii="Arial" w:hAnsi="Arial"/>
          <w:i/>
          <w:sz w:val="24"/>
        </w:rPr>
        <w:t>желых комбинированных пороков.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В процесс может вовлекаться перикард. Состояние ребенка резко ухудшается, усиливается отдышка, цианоз, боли в области сердца, ребенок стремится занять вынужденное сидячее или </w:t>
      </w:r>
      <w:proofErr w:type="spellStart"/>
      <w:r>
        <w:rPr>
          <w:rFonts w:ascii="Arial" w:hAnsi="Arial"/>
          <w:i/>
          <w:sz w:val="24"/>
        </w:rPr>
        <w:t>полусидячее</w:t>
      </w:r>
      <w:proofErr w:type="spellEnd"/>
      <w:r>
        <w:rPr>
          <w:rFonts w:ascii="Arial" w:hAnsi="Arial"/>
          <w:i/>
          <w:sz w:val="24"/>
        </w:rPr>
        <w:t xml:space="preserve"> положение.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К внесердечным фо</w:t>
      </w:r>
      <w:r>
        <w:rPr>
          <w:rFonts w:ascii="Arial" w:hAnsi="Arial"/>
          <w:i/>
          <w:sz w:val="24"/>
        </w:rPr>
        <w:t>рмам ревматизма относится поражение суставов – ревматический полиартрит. Заболевание сопровождается резкой болезненностью в суставах, припухлостью, покраснением кожи над ними; поражаются крупные и мелкие суставы конечностей.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Малая хорея -  одна из фор</w:t>
      </w:r>
      <w:r>
        <w:rPr>
          <w:rFonts w:ascii="Arial" w:hAnsi="Arial"/>
          <w:i/>
          <w:sz w:val="24"/>
        </w:rPr>
        <w:t>м  проявления ревматизма у детей, развивается в связи с поражением нервной системы (ревматический энцефалит). Малая хорея встречается у детей школьного возраста, у девочек в 2-3 раза чаще, чем у мальчиков.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Заболевание развивается постепенно. У ребенка</w:t>
      </w:r>
      <w:r>
        <w:rPr>
          <w:rFonts w:ascii="Arial" w:hAnsi="Arial"/>
          <w:i/>
          <w:sz w:val="24"/>
        </w:rPr>
        <w:t xml:space="preserve"> появляется двигательное беспокойство, он не может сидеть спокойно, движения становятся неловкими.  Изменяется его поведение, появляется плаксивость, раздражительность, заметно изменяется почерк. Затем возникают характерные непроизвольные движения отдельны</w:t>
      </w:r>
      <w:r>
        <w:rPr>
          <w:rFonts w:ascii="Arial" w:hAnsi="Arial"/>
          <w:i/>
          <w:sz w:val="24"/>
        </w:rPr>
        <w:t>х мышечных групп и частей тела. Ребенок не может самостоятельно есть, все время делает беспорядочные движения, раскидывая конечности, не может ходить, сидеть. Речь становится невнятной. Во сне движения ослабевают. Характерным симптомом  хореи является гипо</w:t>
      </w:r>
      <w:r>
        <w:rPr>
          <w:rFonts w:ascii="Arial" w:hAnsi="Arial"/>
          <w:i/>
          <w:sz w:val="24"/>
        </w:rPr>
        <w:t xml:space="preserve">тония мышц. Примерно в 50% случаев при хорее наблюдается поражение сердца. Продолжительность заболевания – от 2 до 3 </w:t>
      </w:r>
      <w:proofErr w:type="spellStart"/>
      <w:r>
        <w:rPr>
          <w:rFonts w:ascii="Arial" w:hAnsi="Arial"/>
          <w:i/>
          <w:sz w:val="24"/>
        </w:rPr>
        <w:t>мес</w:t>
      </w:r>
      <w:proofErr w:type="spellEnd"/>
      <w:r>
        <w:rPr>
          <w:rFonts w:ascii="Arial" w:hAnsi="Arial"/>
          <w:i/>
          <w:sz w:val="24"/>
        </w:rPr>
        <w:t>, нередко болезнь рецидивирует и принимает затяжное течение.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Ревматический плеврит может развиться у ребенка при обострении заболев</w:t>
      </w:r>
      <w:r>
        <w:rPr>
          <w:rFonts w:ascii="Arial" w:hAnsi="Arial"/>
          <w:i/>
          <w:sz w:val="24"/>
        </w:rPr>
        <w:t xml:space="preserve">ания и рассматривается как своеобразный аллергический синдром. В </w:t>
      </w:r>
      <w:r>
        <w:rPr>
          <w:rFonts w:ascii="Arial" w:hAnsi="Arial"/>
          <w:i/>
          <w:sz w:val="24"/>
        </w:rPr>
        <w:lastRenderedPageBreak/>
        <w:t>плевральной полости появляется выпот (под влиянием лечения выпот в течение 5-7 дней рассасывается).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В острую фазу ревматизма как следствие системного поражения сосудов может развиться не</w:t>
      </w:r>
      <w:r>
        <w:rPr>
          <w:rFonts w:ascii="Arial" w:hAnsi="Arial"/>
          <w:i/>
          <w:sz w:val="24"/>
        </w:rPr>
        <w:t xml:space="preserve">фрит ревматической </w:t>
      </w:r>
      <w:proofErr w:type="spellStart"/>
      <w:r>
        <w:rPr>
          <w:rFonts w:ascii="Arial" w:hAnsi="Arial"/>
          <w:i/>
          <w:sz w:val="24"/>
        </w:rPr>
        <w:t>этоилогии</w:t>
      </w:r>
      <w:proofErr w:type="spellEnd"/>
      <w:r>
        <w:rPr>
          <w:rFonts w:ascii="Arial" w:hAnsi="Arial"/>
          <w:i/>
          <w:sz w:val="24"/>
        </w:rPr>
        <w:t>. Также возможно и поражение печени.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Ревматизм у детей часто сопровождается различными кожными высыпаниями (</w:t>
      </w:r>
      <w:proofErr w:type="spellStart"/>
      <w:r>
        <w:rPr>
          <w:rFonts w:ascii="Arial" w:hAnsi="Arial"/>
          <w:i/>
          <w:sz w:val="24"/>
        </w:rPr>
        <w:t>аннулярная</w:t>
      </w:r>
      <w:proofErr w:type="spellEnd"/>
      <w:r>
        <w:rPr>
          <w:rFonts w:ascii="Arial" w:hAnsi="Arial"/>
          <w:i/>
          <w:sz w:val="24"/>
        </w:rPr>
        <w:t xml:space="preserve"> эритема или высыпания типа крапивницы). В отдельных случаях при тяжелом течении ревматизма в области сус</w:t>
      </w:r>
      <w:r>
        <w:rPr>
          <w:rFonts w:ascii="Arial" w:hAnsi="Arial"/>
          <w:i/>
          <w:sz w:val="24"/>
        </w:rPr>
        <w:t>тавов обнаруживаются плотные образования – ревматические гранулемы (ревматические узелки) величиной от просяного зерна до горошины.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Активное течение ревматического процесса у детей может сочетаться с признаками недостаточности кровообращения: отдышкой</w:t>
      </w:r>
      <w:r>
        <w:rPr>
          <w:rFonts w:ascii="Arial" w:hAnsi="Arial"/>
          <w:i/>
          <w:sz w:val="24"/>
        </w:rPr>
        <w:t>, цианозом кожных покровов, расширением границ сердца, глухостью тонов, ритмом галопа, экстрасистолией, рвотой, увеличением печени, повышением, а потом увеличением артериального давления. Активность ревматического процесса определяется выраженностью клинич</w:t>
      </w:r>
      <w:r>
        <w:rPr>
          <w:rFonts w:ascii="Arial" w:hAnsi="Arial"/>
          <w:i/>
          <w:sz w:val="24"/>
        </w:rPr>
        <w:t>еских симптомов, их динамикой.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Неактивная фаза ревматизма у детей проявляется различно. У части детей она протекает как бы бессимптомно. Но иногда у них появляются непостоянная субфебрильная температура тела, утомляемость, болевые ощущения в области с</w:t>
      </w:r>
      <w:r>
        <w:rPr>
          <w:rFonts w:ascii="Arial" w:hAnsi="Arial"/>
          <w:i/>
          <w:sz w:val="24"/>
        </w:rPr>
        <w:t>ердца, отдышка.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Исход ревматизма у детей всегда серьезный, но в последние годы он стал более благоприятным. Реже у детей формируются клапанные пороки. У большинства удается предупредить повторные атаки ревматизма.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b/>
          <w:i/>
          <w:sz w:val="24"/>
        </w:rPr>
        <w:t>Диагноз.</w:t>
      </w:r>
      <w:r>
        <w:rPr>
          <w:rFonts w:ascii="Arial" w:hAnsi="Arial"/>
          <w:i/>
          <w:sz w:val="24"/>
        </w:rPr>
        <w:t xml:space="preserve"> Основывается на характе</w:t>
      </w:r>
      <w:r>
        <w:rPr>
          <w:rFonts w:ascii="Arial" w:hAnsi="Arial"/>
          <w:i/>
          <w:sz w:val="24"/>
        </w:rPr>
        <w:t>рных анамнестических данных (предшествующие заболевания стрептококковой этиологии – стрептококковая ангина и др.). Диагноз ревматизма становится более достоверным при обнаружении у больных изменений сердца, поражения суставов, хореи, ревматических гранулем</w:t>
      </w:r>
      <w:r>
        <w:rPr>
          <w:rFonts w:ascii="Arial" w:hAnsi="Arial"/>
          <w:i/>
          <w:sz w:val="24"/>
        </w:rPr>
        <w:t xml:space="preserve"> и кольцевидной сыпи. Учитываются также и общине проявления заболевания: повышение температуры тела, быстрая утомляемость, бледность кожных покровов.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Лечение.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В острой фазе болезни  лечение необходимо проводить в стационаре. Ребенок в период ревматиче</w:t>
      </w:r>
      <w:r>
        <w:rPr>
          <w:rFonts w:ascii="Arial" w:hAnsi="Arial"/>
          <w:i/>
          <w:sz w:val="24"/>
        </w:rPr>
        <w:t>ской атаки с самого начала болезни нуждается в строгом постельном режиме (2-4нед), позже его заменяют полупостельным (3-4нед.), лишь потом переводят на палатный и общий режим (1-2нед.). Следует терпеливо проводить воспитательную работу, организуя для детей</w:t>
      </w:r>
      <w:r>
        <w:rPr>
          <w:rFonts w:ascii="Arial" w:hAnsi="Arial"/>
          <w:i/>
          <w:sz w:val="24"/>
        </w:rPr>
        <w:t xml:space="preserve"> спокойные игры, занятия. Рационально построенное питание  с достаточным содержанием витаминов – необходимое условие эффективности лечения. В остром периоде следует ограничить количество соли до 5-6г и жидкости в пределах 1л. Полезными являются продукты, с</w:t>
      </w:r>
      <w:r>
        <w:rPr>
          <w:rFonts w:ascii="Arial" w:hAnsi="Arial"/>
          <w:i/>
          <w:sz w:val="24"/>
        </w:rPr>
        <w:t>одержащие соли калия</w:t>
      </w:r>
    </w:p>
    <w:p w:rsidR="00000000" w:rsidRDefault="00780A0D">
      <w:pPr>
        <w:pStyle w:val="a5"/>
      </w:pPr>
      <w:r>
        <w:t>(творог, картофель, яблоки, капуста, чернослив и др.), фрукты, овощи. Необходимо следить за воздушным режимом. В лечении обязательно  используют специально разработанный комплекс лечебной физкультуры с определенными упражнениями.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i/>
          <w:sz w:val="24"/>
        </w:rPr>
        <w:t>Медикаментозная терапия направлена на десенсибилизацию (устранение аллергического состояния) организма больного ревматизмом. В течение первых 10-14 дней пребывания ребенка в стационаре ему назначат антибиотики. Широко используют витаминотерапию (аскорбинов</w:t>
      </w:r>
      <w:r>
        <w:rPr>
          <w:rFonts w:ascii="Arial" w:hAnsi="Arial"/>
          <w:i/>
          <w:sz w:val="24"/>
        </w:rPr>
        <w:t xml:space="preserve">ая кислота, витамина группы В), в случаях затяжного лечения – анаболические </w:t>
      </w:r>
      <w:proofErr w:type="spellStart"/>
      <w:r>
        <w:rPr>
          <w:rFonts w:ascii="Arial" w:hAnsi="Arial"/>
          <w:i/>
          <w:sz w:val="24"/>
        </w:rPr>
        <w:t>стероиды</w:t>
      </w:r>
      <w:proofErr w:type="spellEnd"/>
      <w:r>
        <w:rPr>
          <w:rFonts w:ascii="Arial" w:hAnsi="Arial"/>
          <w:i/>
          <w:sz w:val="24"/>
        </w:rPr>
        <w:t xml:space="preserve">, применяют препараты </w:t>
      </w:r>
      <w:proofErr w:type="spellStart"/>
      <w:r>
        <w:rPr>
          <w:rFonts w:ascii="Arial" w:hAnsi="Arial"/>
          <w:i/>
          <w:sz w:val="24"/>
        </w:rPr>
        <w:t>хинолинового</w:t>
      </w:r>
      <w:proofErr w:type="spellEnd"/>
      <w:r>
        <w:rPr>
          <w:rFonts w:ascii="Arial" w:hAnsi="Arial"/>
          <w:i/>
          <w:sz w:val="24"/>
        </w:rPr>
        <w:t xml:space="preserve"> ряда, оказывающие антиаллергическое и противовоспалительное  действие. При явлениях недостаточности </w:t>
      </w:r>
      <w:r>
        <w:rPr>
          <w:rFonts w:ascii="Arial" w:hAnsi="Arial"/>
          <w:i/>
          <w:sz w:val="24"/>
        </w:rPr>
        <w:lastRenderedPageBreak/>
        <w:t xml:space="preserve">кровообращения в комплексном лечении </w:t>
      </w:r>
      <w:r>
        <w:rPr>
          <w:rFonts w:ascii="Arial" w:hAnsi="Arial"/>
          <w:i/>
          <w:sz w:val="24"/>
        </w:rPr>
        <w:t xml:space="preserve">ведущее место занимают сердечные </w:t>
      </w:r>
      <w:proofErr w:type="spellStart"/>
      <w:r>
        <w:rPr>
          <w:rFonts w:ascii="Arial" w:hAnsi="Arial"/>
          <w:i/>
          <w:sz w:val="24"/>
        </w:rPr>
        <w:t>гликозоиды</w:t>
      </w:r>
      <w:proofErr w:type="spellEnd"/>
      <w:r>
        <w:rPr>
          <w:rFonts w:ascii="Arial" w:hAnsi="Arial"/>
          <w:i/>
          <w:sz w:val="24"/>
        </w:rPr>
        <w:t>. В период выздоровления проводят стимулирующую терапию – общее ультрафиолетовое облучение, переливание крови и плазмы.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После выписки ребенок поступает под постоянное диспансерное наблюдение ревматолога детск</w:t>
      </w:r>
      <w:r>
        <w:rPr>
          <w:rFonts w:ascii="Arial" w:hAnsi="Arial"/>
          <w:i/>
          <w:sz w:val="24"/>
        </w:rPr>
        <w:t xml:space="preserve">ой поликлиники и получает  </w:t>
      </w:r>
      <w:proofErr w:type="spellStart"/>
      <w:r>
        <w:rPr>
          <w:rFonts w:ascii="Arial" w:hAnsi="Arial"/>
          <w:i/>
          <w:sz w:val="24"/>
        </w:rPr>
        <w:t>антиревматическое</w:t>
      </w:r>
      <w:proofErr w:type="spellEnd"/>
      <w:r>
        <w:rPr>
          <w:rFonts w:ascii="Arial" w:hAnsi="Arial"/>
          <w:i/>
          <w:sz w:val="24"/>
        </w:rPr>
        <w:t xml:space="preserve"> лечение. Ребенок находится на учете у ревматолога в течение 5 лет.</w:t>
      </w:r>
    </w:p>
    <w:p w:rsidR="00000000" w:rsidRDefault="00780A0D">
      <w:pPr>
        <w:ind w:left="1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b/>
          <w:i/>
          <w:sz w:val="24"/>
        </w:rPr>
        <w:t>Профилактика.</w:t>
      </w:r>
      <w:r>
        <w:rPr>
          <w:rFonts w:ascii="Arial" w:hAnsi="Arial"/>
          <w:i/>
          <w:sz w:val="24"/>
        </w:rPr>
        <w:t xml:space="preserve"> Планомерное проведение профилактики ревматизма предупреждает заболевания сердечно-сосудистой системы. Необходимы мероприятия,</w:t>
      </w:r>
      <w:r>
        <w:rPr>
          <w:rFonts w:ascii="Arial" w:hAnsi="Arial"/>
          <w:i/>
          <w:sz w:val="24"/>
        </w:rPr>
        <w:t xml:space="preserve"> направленные прежде всего на улучшение материально-бытовых условий , организацию соответствующего режима в школах, рационального питания. Важным элементом профилактики ревматизма является забота о повышении устойчивости детского организма путем закаливани</w:t>
      </w:r>
      <w:r>
        <w:rPr>
          <w:rFonts w:ascii="Arial" w:hAnsi="Arial"/>
          <w:i/>
          <w:sz w:val="24"/>
        </w:rPr>
        <w:t>я, систематических занятий спортом и гимнастикой. Необходимо предотвращать  стрептококковую инфекцию полости рта и носоглотки, лечить хронические тонзиллиты. Эти мероприятия составляют так называемую первичную профилактику. Вторичная профилактика – предупр</w:t>
      </w:r>
      <w:r>
        <w:rPr>
          <w:rFonts w:ascii="Arial" w:hAnsi="Arial"/>
          <w:i/>
          <w:sz w:val="24"/>
        </w:rPr>
        <w:t>еждение рецидивов и прогрессирования ревматического процесса. Решение этой задачи обеспечивает  диспансеризация больных.</w:t>
      </w:r>
    </w:p>
    <w:p w:rsidR="00780A0D" w:rsidRDefault="00780A0D">
      <w:pPr>
        <w:ind w:left="120"/>
        <w:rPr>
          <w:rFonts w:ascii="Arial" w:hAnsi="Arial"/>
          <w:i/>
          <w:sz w:val="24"/>
        </w:rPr>
      </w:pPr>
    </w:p>
    <w:sectPr w:rsidR="00780A0D">
      <w:pgSz w:w="11906" w:h="16838" w:code="9"/>
      <w:pgMar w:top="1418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13BF"/>
    <w:multiLevelType w:val="singleLevel"/>
    <w:tmpl w:val="5B52EDCA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1C"/>
    <w:rsid w:val="00780A0D"/>
    <w:rsid w:val="00F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1A58-9702-4A45-A68B-E3257B5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i/>
      <w:sz w:val="24"/>
    </w:rPr>
  </w:style>
  <w:style w:type="paragraph" w:styleId="a4">
    <w:name w:val="Body Text"/>
    <w:basedOn w:val="a"/>
    <w:semiHidden/>
    <w:rPr>
      <w:rFonts w:ascii="Arial" w:hAnsi="Arial"/>
      <w:i/>
      <w:sz w:val="24"/>
    </w:rPr>
  </w:style>
  <w:style w:type="paragraph" w:styleId="20">
    <w:name w:val="Body Text 2"/>
    <w:basedOn w:val="a"/>
    <w:semiHidden/>
    <w:rPr>
      <w:rFonts w:ascii="Arial" w:hAnsi="Arial"/>
      <w:i/>
    </w:rPr>
  </w:style>
  <w:style w:type="paragraph" w:styleId="a5">
    <w:name w:val="Body Text Indent"/>
    <w:basedOn w:val="a"/>
    <w:semiHidden/>
    <w:pPr>
      <w:ind w:left="120"/>
    </w:pPr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РЕВМАТИЗМ</vt:lpstr>
    </vt:vector>
  </TitlesOfParts>
  <Company>komplekt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РЕВМАТИЗМ</dc:title>
  <dc:subject/>
  <dc:creator>komplekt</dc:creator>
  <cp:keywords/>
  <dc:description/>
  <cp:lastModifiedBy>Тест</cp:lastModifiedBy>
  <cp:revision>2</cp:revision>
  <cp:lastPrinted>2000-03-21T10:06:00Z</cp:lastPrinted>
  <dcterms:created xsi:type="dcterms:W3CDTF">2024-05-19T19:22:00Z</dcterms:created>
  <dcterms:modified xsi:type="dcterms:W3CDTF">2024-05-19T19:22:00Z</dcterms:modified>
</cp:coreProperties>
</file>