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C" w:rsidRPr="003511E7" w:rsidRDefault="00451EA5" w:rsidP="002C499C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bookmarkStart w:id="0" w:name="_GoBack"/>
      <w:bookmarkEnd w:id="0"/>
      <w:r w:rsidRPr="003511E7">
        <w:rPr>
          <w:rFonts w:ascii="Bookman Old Style" w:hAnsi="Bookman Old Style"/>
          <w:b/>
          <w:bCs/>
          <w:i/>
          <w:color w:val="0000FF"/>
          <w:u w:val="single"/>
        </w:rPr>
        <w:t>Паспортные данные:</w:t>
      </w:r>
    </w:p>
    <w:p w:rsidR="00451EA5" w:rsidRPr="00DB5F05" w:rsidRDefault="00451EA5" w:rsidP="002C499C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Ф.И.О.: </w:t>
      </w:r>
      <w:r w:rsidR="00DB5F05" w:rsidRPr="00DB5F05">
        <w:rPr>
          <w:rFonts w:ascii="Bookman Old Style" w:hAnsi="Bookman Old Style"/>
          <w:b/>
          <w:i/>
          <w:color w:val="0000FF"/>
          <w:sz w:val="20"/>
          <w:szCs w:val="20"/>
        </w:rPr>
        <w:t>_________________</w:t>
      </w:r>
    </w:p>
    <w:p w:rsidR="002C499C" w:rsidRPr="002C499C" w:rsidRDefault="002C499C" w:rsidP="002C499C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Дата рождения: 15.04.1954.</w:t>
      </w:r>
    </w:p>
    <w:p w:rsidR="009521FB" w:rsidRPr="002C499C" w:rsidRDefault="009521FB" w:rsidP="002C499C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Место работы: Безработный</w:t>
      </w:r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3B508A" w:rsidRPr="00DB5F05" w:rsidRDefault="009521FB" w:rsidP="002C499C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Место жительства: </w:t>
      </w:r>
      <w:r w:rsidR="00DB5F05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______________________</w:t>
      </w:r>
    </w:p>
    <w:p w:rsidR="002C499C" w:rsidRPr="002C499C" w:rsidRDefault="003B508A" w:rsidP="002C499C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Дата госпитализации: 18.03.2005г.</w:t>
      </w:r>
      <w:r w:rsidR="002C499C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                                </w:t>
      </w:r>
    </w:p>
    <w:p w:rsidR="009521FB" w:rsidRPr="002C499C" w:rsidRDefault="002C499C" w:rsidP="0004029D">
      <w:pPr>
        <w:spacing w:before="100" w:beforeAutospacing="1" w:after="100" w:afterAutospacing="1"/>
        <w:ind w:left="360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                                           </w:t>
      </w:r>
      <w:r w:rsidR="009521FB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451EA5" w:rsidRPr="003511E7" w:rsidRDefault="00451EA5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iCs/>
          <w:color w:val="0000FF"/>
          <w:u w:val="single"/>
        </w:rPr>
        <w:t>Жалобы</w:t>
      </w:r>
      <w:r w:rsidR="009C390E" w:rsidRPr="003511E7">
        <w:rPr>
          <w:rFonts w:ascii="Bookman Old Style" w:hAnsi="Bookman Old Style"/>
          <w:b/>
          <w:i/>
          <w:iCs/>
          <w:color w:val="0000FF"/>
          <w:u w:val="single"/>
        </w:rPr>
        <w:t>: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 xml:space="preserve">Жалобы на день </w:t>
      </w:r>
      <w:proofErr w:type="spellStart"/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курации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:</w:t>
      </w:r>
    </w:p>
    <w:p w:rsidR="009C390E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На головную боль с</w:t>
      </w:r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жимающего характера,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дрожь в руках, потливость ладоней и стоп, данные жалобы возникают у пациента независимо от приема пищи, времени суток и приема инсулина. На головокружение в душной комнате, которое постепенно проходит на свежем воздухе. На похудание, мелькание «мушек» перед глазами, затуманенность, парестезии в конечностях. На боль</w:t>
      </w:r>
      <w:r w:rsidR="009C390E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и онемение в области пальцев стопы.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9C390E" w:rsidRPr="002C499C" w:rsidRDefault="009C390E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Жалобы на день госпитализации:</w:t>
      </w:r>
    </w:p>
    <w:p w:rsidR="009C390E" w:rsidRPr="002C499C" w:rsidRDefault="00451EA5" w:rsidP="009C390E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На сухость во рту, жажду, полиурию, потливость ладоней и стоп, головную боль сжимающего характера. </w:t>
      </w:r>
      <w:proofErr w:type="gramStart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На похудание, мелькание «мушек» перед глазами, ухудшение, затуманенность зрения, парестезии в конечностя</w:t>
      </w:r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>х, их онемение, на сердцебиение.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gramEnd"/>
    </w:p>
    <w:p w:rsidR="009C390E" w:rsidRPr="002C499C" w:rsidRDefault="009C390E" w:rsidP="009C390E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9C390E" w:rsidRPr="002C499C" w:rsidRDefault="009C390E" w:rsidP="009C390E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451EA5" w:rsidRPr="003511E7" w:rsidRDefault="003511E7" w:rsidP="009C390E">
      <w:pPr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iCs/>
          <w:color w:val="0000FF"/>
          <w:u w:val="single"/>
          <w:lang w:val="en-US"/>
        </w:rPr>
        <w:t>ANAMNESIS MORBI</w:t>
      </w:r>
      <w:r w:rsidR="0004029D" w:rsidRPr="003511E7">
        <w:rPr>
          <w:rFonts w:ascii="Bookman Old Style" w:hAnsi="Bookman Old Style"/>
          <w:b/>
          <w:i/>
          <w:iCs/>
          <w:color w:val="0000FF"/>
          <w:u w:val="single"/>
        </w:rPr>
        <w:t>:</w:t>
      </w:r>
      <w:r w:rsidR="00451EA5" w:rsidRPr="003511E7">
        <w:rPr>
          <w:rFonts w:ascii="Bookman Old Style" w:hAnsi="Bookman Old Style"/>
          <w:b/>
          <w:i/>
          <w:color w:val="0000FF"/>
          <w:u w:val="single"/>
        </w:rPr>
        <w:t xml:space="preserve"> </w:t>
      </w:r>
    </w:p>
    <w:p w:rsidR="009521FB" w:rsidRDefault="009C390E" w:rsidP="009521FB">
      <w:pPr>
        <w:keepLines/>
        <w:widowControl w:val="0"/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Считает себя больным сахарным диабетом, примерно с 2000 г. После психотравмирующей ситуации, когда впервые отметил появление выраженной жажды, слабости, снижение трудоспособности. К врачу не обращался. Впоследствии состояние не улучшилось, продолжал работать. На плановом медосмотре по месту работы в анализах крови было обнаружено повышенное содержание глюкозы в крови (до 18 </w:t>
      </w:r>
      <w:proofErr w:type="spellStart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мМоль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/л). Был направлен для консультации и лечения эндокринолога по месту жительства. Был поставлен диагноз: Сахарный диабет,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I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тип</w:t>
      </w:r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С первых дней заболевания находится на инсулин терапии (в дозе до 50 </w:t>
      </w:r>
      <w:proofErr w:type="gramStart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>ЕД</w:t>
      </w:r>
      <w:proofErr w:type="gramEnd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>/сутки). В 2003 г. была потеря сознани</w:t>
      </w:r>
      <w:proofErr w:type="gramStart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>я-</w:t>
      </w:r>
      <w:proofErr w:type="gramEnd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вызвана БСМП. </w:t>
      </w:r>
      <w:proofErr w:type="gramStart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>Доставлен</w:t>
      </w:r>
      <w:proofErr w:type="gramEnd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для лечения и подтверждения диагноза в больницу по месту жительства. Поставлен диагноз: </w:t>
      </w:r>
      <w:proofErr w:type="gramStart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>Гипогликемическая</w:t>
      </w:r>
      <w:proofErr w:type="gramEnd"/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кома средней степени тяжести. После лечения п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ациент </w:t>
      </w:r>
      <w:r w:rsidR="0004029D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соблюдал диету и  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лечился препаратами инсулина короткого и среднего действия. Научился определять гипогликемию и вовремя корректировать ее.</w:t>
      </w:r>
      <w:r w:rsidR="009521FB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>Терял в весе. Было отмечено некоторое ухудшение зрения, дрожание рук, похолодание, судороги и болезненность нижних конечностей.</w:t>
      </w:r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Был переведён с инсулина «</w:t>
      </w:r>
      <w:proofErr w:type="spellStart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Хумодар</w:t>
      </w:r>
      <w:proofErr w:type="spellEnd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» на инсулин «</w:t>
      </w:r>
      <w:proofErr w:type="spellStart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».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Похудание (за 4 месяца на 10 кг).</w:t>
      </w:r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Уровень гликемии в крови 15- 17 </w:t>
      </w:r>
      <w:proofErr w:type="spellStart"/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>мМоль</w:t>
      </w:r>
      <w:proofErr w:type="spellEnd"/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>/л, в моче выявляется до 4%.</w:t>
      </w:r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 данный момент принимает инъекции инсулина «</w:t>
      </w:r>
      <w:proofErr w:type="spellStart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» в дозе до 50 ЕД/ сутки ( 12 ЕД- «</w:t>
      </w:r>
      <w:proofErr w:type="spellStart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», 32 ЕД- «</w:t>
      </w:r>
      <w:proofErr w:type="spellStart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proofErr w:type="gramStart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Б</w:t>
      </w:r>
      <w:proofErr w:type="gramEnd"/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»).</w:t>
      </w:r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gramStart"/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>Направлен</w:t>
      </w:r>
      <w:proofErr w:type="gramEnd"/>
      <w:r w:rsid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на консультацию эндокринолога</w:t>
      </w:r>
      <w:r w:rsidR="00153F73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 клинику ДОКТМО с декомпенсацией углеводного обмена. В ДОКТМО ранее не лечился. </w:t>
      </w:r>
      <w:proofErr w:type="gramStart"/>
      <w:r w:rsidR="00153F73">
        <w:rPr>
          <w:rFonts w:ascii="Bookman Old Style" w:hAnsi="Bookman Old Style"/>
          <w:b/>
          <w:i/>
          <w:color w:val="0000FF"/>
          <w:sz w:val="20"/>
          <w:szCs w:val="20"/>
        </w:rPr>
        <w:t>Госпитализирован</w:t>
      </w:r>
      <w:proofErr w:type="gramEnd"/>
      <w:r w:rsidR="00153F73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 отделение эндокринологии для коррекции терапии и лечения осложнений, подбора вида и дозы инсулина.</w:t>
      </w:r>
    </w:p>
    <w:p w:rsidR="00153F73" w:rsidRDefault="00153F73" w:rsidP="00153F73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iCs/>
          <w:color w:val="0000FF"/>
          <w:sz w:val="20"/>
          <w:szCs w:val="20"/>
        </w:rPr>
      </w:pPr>
    </w:p>
    <w:p w:rsidR="003511E7" w:rsidRDefault="00451EA5" w:rsidP="00153F73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iCs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iCs/>
          <w:color w:val="0000FF"/>
          <w:sz w:val="20"/>
          <w:szCs w:val="20"/>
        </w:rPr>
        <w:t xml:space="preserve"> </w:t>
      </w:r>
    </w:p>
    <w:p w:rsidR="00451EA5" w:rsidRPr="003511E7" w:rsidRDefault="003511E7" w:rsidP="00153F73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iCs/>
          <w:color w:val="0000FF"/>
          <w:u w:val="single"/>
          <w:lang w:val="en-US"/>
        </w:rPr>
        <w:lastRenderedPageBreak/>
        <w:t>ANAMNESIS VITAE</w:t>
      </w:r>
      <w:r w:rsidR="00153F73" w:rsidRPr="003511E7">
        <w:rPr>
          <w:rFonts w:ascii="Bookman Old Style" w:hAnsi="Bookman Old Style"/>
          <w:b/>
          <w:i/>
          <w:iCs/>
          <w:color w:val="0000FF"/>
          <w:u w:val="single"/>
        </w:rPr>
        <w:t>:</w:t>
      </w:r>
      <w:r w:rsidR="00451EA5" w:rsidRPr="003511E7">
        <w:rPr>
          <w:rFonts w:ascii="Bookman Old Style" w:hAnsi="Bookman Old Style"/>
          <w:b/>
          <w:i/>
          <w:color w:val="0000FF"/>
          <w:u w:val="single"/>
        </w:rPr>
        <w:t xml:space="preserve"> </w:t>
      </w:r>
    </w:p>
    <w:p w:rsidR="00153F73" w:rsidRDefault="00153F73" w:rsidP="00153F73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Рос и развивался в соответствие с возрастными нормами. Один ребёнок в семье. Малярию, тифы, туберкулёз, гепатиты, детские инфекции, ВИ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Ч-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инфекцию отрицает. Аллергические реакции на продукты питания и медикаменты отрицает. Употребление алкоголя и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табакокурение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отрицает. Семейный анамнез не отягощён. 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>На работе отмечал постоянные стрессовые ситуации.</w:t>
      </w:r>
    </w:p>
    <w:p w:rsidR="007512F7" w:rsidRPr="002C499C" w:rsidRDefault="007512F7" w:rsidP="00153F73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451EA5" w:rsidRPr="003511E7" w:rsidRDefault="007512F7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color w:val="0000FF"/>
          <w:u w:val="single"/>
          <w:lang w:val="en-US"/>
        </w:rPr>
        <w:t>STATUS</w:t>
      </w:r>
      <w:r w:rsidRPr="003511E7">
        <w:rPr>
          <w:rFonts w:ascii="Bookman Old Style" w:hAnsi="Bookman Old Style"/>
          <w:b/>
          <w:i/>
          <w:color w:val="0000FF"/>
          <w:u w:val="single"/>
        </w:rPr>
        <w:t xml:space="preserve"> </w:t>
      </w:r>
      <w:r w:rsidRPr="003511E7">
        <w:rPr>
          <w:rFonts w:ascii="Bookman Old Style" w:hAnsi="Bookman Old Style"/>
          <w:b/>
          <w:i/>
          <w:color w:val="0000FF"/>
          <w:u w:val="single"/>
          <w:lang w:val="en-US"/>
        </w:rPr>
        <w:t>PRAESENSE</w:t>
      </w:r>
      <w:r w:rsidRPr="003511E7">
        <w:rPr>
          <w:rFonts w:ascii="Bookman Old Style" w:hAnsi="Bookman Old Style"/>
          <w:b/>
          <w:i/>
          <w:color w:val="0000FF"/>
          <w:u w:val="single"/>
        </w:rPr>
        <w:t xml:space="preserve"> </w:t>
      </w:r>
      <w:r w:rsidRPr="003511E7">
        <w:rPr>
          <w:rFonts w:ascii="Bookman Old Style" w:hAnsi="Bookman Old Style"/>
          <w:b/>
          <w:i/>
          <w:color w:val="0000FF"/>
          <w:u w:val="single"/>
          <w:lang w:val="en-US"/>
        </w:rPr>
        <w:t>OBJECTIVUS</w:t>
      </w:r>
      <w:r w:rsidRPr="003511E7">
        <w:rPr>
          <w:rFonts w:ascii="Bookman Old Style" w:hAnsi="Bookman Old Style"/>
          <w:b/>
          <w:i/>
          <w:color w:val="0000FF"/>
          <w:u w:val="single"/>
        </w:rPr>
        <w:t>:</w:t>
      </w:r>
    </w:p>
    <w:p w:rsidR="00451EA5" w:rsidRDefault="00451EA5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Общее состояние удовлетворительное.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Положение пациента в постели активное.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Сознание ясно.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Астеническое телосложение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>, рост 165 см, масса 54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,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>5 кг.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ВМИ- 19,5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Выражение лица обычное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Тембр голоса высокий. Отмечается полное выпадение зубов. Язык сухой, запаха ацетона изо рта нет. 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Кожный покров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однороден</w:t>
      </w:r>
      <w:r w:rsidR="007512F7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>На нижних конечностях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отмечается шелушение на передней поверхности голени, влажность повышена, эластичность нормальная. Толщина кожной складки у нижнего угла лопатки и на передней брюшной стенке 1 см. Отёки не обнаруживаются. Нижние конечности на ощупь прохладные, влажность повышена. Пульсация на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a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  <w:lang w:val="en-US"/>
        </w:rPr>
        <w:t>dorsalis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  <w:lang w:val="en-US"/>
        </w:rPr>
        <w:t>pedis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и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a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  <w:lang w:val="en-US"/>
        </w:rPr>
        <w:t>tibialis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anterior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слабого наполнения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Отмечается дрожание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кистей.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Щитовидная железа не увеличена.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Общее развитие мышц удовлетворительное, болезненность при пальпации отсутствует, тонус одинаков с обеих сторон.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Отмечается гипотрофия мышц голени и стоп.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При обследовании костей болезненность и деформации не наблюдается. 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>Сердечна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>я деятельность ритмичная, ЧСС- 110 уд/</w:t>
      </w:r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>мин., АД- 120/80 мм</w:t>
      </w:r>
      <w:proofErr w:type="gramStart"/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proofErr w:type="gramEnd"/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gramStart"/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>р</w:t>
      </w:r>
      <w:proofErr w:type="gramEnd"/>
      <w:r w:rsidR="007E6C01">
        <w:rPr>
          <w:rFonts w:ascii="Bookman Old Style" w:hAnsi="Bookman Old Style"/>
          <w:b/>
          <w:i/>
          <w:color w:val="0000FF"/>
          <w:sz w:val="20"/>
          <w:szCs w:val="20"/>
        </w:rPr>
        <w:t>т. ст. Диурез до 2 л/сутки.</w:t>
      </w:r>
    </w:p>
    <w:p w:rsidR="007E6C01" w:rsidRDefault="007E6C01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7E6C01" w:rsidRPr="003511E7" w:rsidRDefault="007E6C01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color w:val="0000FF"/>
          <w:u w:val="single"/>
        </w:rPr>
        <w:t>ПЛАН ОБСЛЕДОВАНИЯ:</w:t>
      </w:r>
    </w:p>
    <w:p w:rsidR="00347014" w:rsidRDefault="007E6C01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ОАК; ОАМ; анализ крови и мочи на содержание глюкозы, фракции, холестерин, билирубин, β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 xml:space="preserve">- липопротеиды, мочевину, </w:t>
      </w:r>
      <w:proofErr w:type="spellStart"/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>креати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нин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гликолизированный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hB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347014" w:rsidRDefault="00347014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347014" w:rsidRPr="003511E7" w:rsidRDefault="00347014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color w:val="0000FF"/>
          <w:u w:val="single"/>
        </w:rPr>
        <w:t>ПРЕДВАРИТЕЛЬНЫЙ ДИАГНОЗ:</w:t>
      </w:r>
    </w:p>
    <w:p w:rsidR="007E6C01" w:rsidRPr="002C499C" w:rsidRDefault="00347014" w:rsidP="007512F7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Сахарный диабет, </w:t>
      </w:r>
      <w:r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I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тип, средней степени тяжести, в стадии декомпенсации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ОСЛОЖНЕНИЯ: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gram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д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иабетическая</w:t>
      </w:r>
      <w:proofErr w:type="gram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непролиферативная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ретинопатиия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, диабетическая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полинейропатия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         </w:t>
      </w:r>
    </w:p>
    <w:p w:rsidR="00347014" w:rsidRDefault="00347014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bCs/>
          <w:i/>
          <w:color w:val="0000FF"/>
          <w:sz w:val="20"/>
          <w:szCs w:val="20"/>
        </w:rPr>
      </w:pPr>
    </w:p>
    <w:p w:rsidR="00451EA5" w:rsidRPr="002C499C" w:rsidRDefault="00451EA5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bCs/>
          <w:i/>
          <w:color w:val="0000FF"/>
          <w:sz w:val="20"/>
          <w:szCs w:val="20"/>
        </w:rPr>
        <w:t>Обосно</w:t>
      </w:r>
      <w:r w:rsidR="003511E7">
        <w:rPr>
          <w:rFonts w:ascii="Bookman Old Style" w:hAnsi="Bookman Old Style"/>
          <w:b/>
          <w:bCs/>
          <w:i/>
          <w:color w:val="0000FF"/>
          <w:sz w:val="20"/>
          <w:szCs w:val="20"/>
        </w:rPr>
        <w:t>вание предварительного диагноза: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3B508A" w:rsidRDefault="00451EA5" w:rsidP="003B508A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Диагноз сахарный диабет был поставлен на основании жалоб: полиурия, полидипсия, слабость, похудание – синдром гипергликемии; ослабление и затуманенность зрения – синдром диабетической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ретинопатии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; боль в ногах,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онемение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стоп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>,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парестезии – синдром диабетической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полинейропатии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. На основании истории настоящего заболевания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>. П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роводимое лечение препаратами инсулина, способствует купированию данных симптомов. На основании данных объективного осмотр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>а: астеническое телосложение,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похудание</w:t>
      </w:r>
      <w:r w:rsidR="00347014">
        <w:rPr>
          <w:rFonts w:ascii="Bookman Old Style" w:hAnsi="Bookman Old Style"/>
          <w:b/>
          <w:i/>
          <w:color w:val="0000FF"/>
          <w:sz w:val="20"/>
          <w:szCs w:val="20"/>
        </w:rPr>
        <w:t xml:space="preserve"> (за 4 месяца на 10 кг)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. Кожные покровы влажные, дрожь кистей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>, тахикардия- 110 уд/мин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</w:p>
    <w:p w:rsidR="003B508A" w:rsidRDefault="003B508A" w:rsidP="003B508A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3B508A" w:rsidRDefault="003B508A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3B508A" w:rsidRDefault="003B508A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3B508A" w:rsidRPr="003511E7" w:rsidRDefault="003B508A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color w:val="0000FF"/>
          <w:u w:val="single"/>
        </w:rPr>
        <w:t>ЛАБОРАТОРНЫЕ МЕТОДЫ ИССЛЕДОВАНИЯ:</w:t>
      </w:r>
    </w:p>
    <w:p w:rsidR="00451EA5" w:rsidRPr="002C499C" w:rsidRDefault="00206BD5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Общий анализ крови: (18.03.2005)</w:t>
      </w:r>
    </w:p>
    <w:tbl>
      <w:tblPr>
        <w:tblW w:w="9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287"/>
        <w:gridCol w:w="1061"/>
        <w:gridCol w:w="1424"/>
        <w:gridCol w:w="1440"/>
        <w:gridCol w:w="1440"/>
        <w:gridCol w:w="2340"/>
      </w:tblGrid>
      <w:tr w:rsidR="00451EA5" w:rsidRPr="002C499C">
        <w:trPr>
          <w:tblCellSpacing w:w="0" w:type="dxa"/>
        </w:trPr>
        <w:tc>
          <w:tcPr>
            <w:tcW w:w="2025" w:type="dxa"/>
            <w:gridSpan w:val="2"/>
            <w:vMerge w:val="restart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Показатель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Значение</w:t>
            </w:r>
          </w:p>
        </w:tc>
        <w:tc>
          <w:tcPr>
            <w:tcW w:w="6644" w:type="dxa"/>
            <w:gridSpan w:val="4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Норма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vMerge/>
            <w:shd w:val="clear" w:color="auto" w:fill="auto"/>
            <w:vAlign w:val="center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Единицы СИ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Единицы, подлежащие замене</w:t>
            </w:r>
          </w:p>
        </w:tc>
      </w:tr>
      <w:tr w:rsidR="00451EA5" w:rsidRPr="002C499C">
        <w:trPr>
          <w:tblCellSpacing w:w="0" w:type="dxa"/>
        </w:trPr>
        <w:tc>
          <w:tcPr>
            <w:tcW w:w="1738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Гемоглобин</w:t>
            </w:r>
          </w:p>
        </w:tc>
        <w:tc>
          <w:tcPr>
            <w:tcW w:w="287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Ж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152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130,0–160,0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120,0–140,0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gramStart"/>
            <w:r w:rsidRPr="002C499C">
              <w:rPr>
                <w:rStyle w:val="gram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</w:t>
            </w:r>
            <w:proofErr w:type="gram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13,0–16,0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 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12,0–14,0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gramStart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</w:t>
            </w:r>
            <w:proofErr w:type="gram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</w:tc>
      </w:tr>
      <w:tr w:rsidR="00451EA5" w:rsidRPr="002C499C">
        <w:trPr>
          <w:tblCellSpacing w:w="0" w:type="dxa"/>
        </w:trPr>
        <w:tc>
          <w:tcPr>
            <w:tcW w:w="1738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Эритроциты</w:t>
            </w:r>
          </w:p>
        </w:tc>
        <w:tc>
          <w:tcPr>
            <w:tcW w:w="287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Ж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5,1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4,0–5,0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3,9–4,7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12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/л 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4,0–5,0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3,9–4,7</w:t>
            </w:r>
          </w:p>
        </w:tc>
        <w:tc>
          <w:tcPr>
            <w:tcW w:w="2340" w:type="dxa"/>
            <w:shd w:val="clear" w:color="auto" w:fill="auto"/>
          </w:tcPr>
          <w:p w:rsidR="00451EA5" w:rsidRPr="002C499C" w:rsidRDefault="003B508A" w:rsidP="00451EA5">
            <w:pPr>
              <w:spacing w:before="100" w:beforeAutospacing="1" w:after="100" w:afterAutospacing="1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   </w:t>
            </w:r>
            <w:r w:rsidR="00451EA5"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млн. в 1мм</w:t>
            </w:r>
            <w:r w:rsidR="00451EA5"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3</w:t>
            </w:r>
            <w:r w:rsidR="00451EA5"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–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 –10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2–10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bscript"/>
              </w:rPr>
              <w:t>00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Тромбоциты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–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l80,0– 320,0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180,0–320,0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тыс. в 1 мм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3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Лейкоциты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3,1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4,0–9,0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4,0–9,0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тыс. в 1 мм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 xml:space="preserve">3 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мкл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spellStart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1–6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0,040–0,300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*10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1–6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40–300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в 1 мм3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Сегментоядерные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63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47–72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2,000–5 500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*10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47–72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2000–5500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в 1 мм3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Эозинофилы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0,5–5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0,020–0,300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*10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0,5–5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20–300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в 1 мм3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Базофилы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--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0–1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0–0,065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*10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0 — 1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0—65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в 1 мм3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Лимфоциты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19–37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1,200–3,000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*10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19 — 37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1200—3000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в 1 мм3 (мкл)</w:t>
            </w:r>
          </w:p>
        </w:tc>
      </w:tr>
      <w:tr w:rsidR="00451EA5" w:rsidRPr="002C499C">
        <w:trPr>
          <w:tblCellSpacing w:w="0" w:type="dxa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Моноциты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--</w:t>
            </w:r>
          </w:p>
        </w:tc>
        <w:tc>
          <w:tcPr>
            <w:tcW w:w="1424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3-11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0,090–0,600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*10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vertAlign w:val="superscript"/>
              </w:rPr>
              <w:t>9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/л</w:t>
            </w:r>
          </w:p>
        </w:tc>
        <w:tc>
          <w:tcPr>
            <w:tcW w:w="1440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3-11 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90—600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%</w:t>
            </w:r>
          </w:p>
          <w:p w:rsidR="00451EA5" w:rsidRPr="002C499C" w:rsidRDefault="00451EA5" w:rsidP="00451EA5">
            <w:pP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в 1 мм3 (мкл)</w:t>
            </w:r>
          </w:p>
        </w:tc>
      </w:tr>
      <w:tr w:rsidR="00451EA5" w:rsidRPr="002C499C">
        <w:trPr>
          <w:trHeight w:val="547"/>
          <w:tblCellSpacing w:w="0" w:type="dxa"/>
        </w:trPr>
        <w:tc>
          <w:tcPr>
            <w:tcW w:w="1738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СОЭ</w:t>
            </w:r>
          </w:p>
        </w:tc>
        <w:tc>
          <w:tcPr>
            <w:tcW w:w="287" w:type="dxa"/>
            <w:shd w:val="clear" w:color="auto" w:fill="auto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Ж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51EA5" w:rsidRPr="002C499C" w:rsidRDefault="003B508A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2–10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2–15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gramStart"/>
            <w:r w:rsidRPr="002C499C">
              <w:rPr>
                <w:rStyle w:val="gram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мм</w:t>
            </w:r>
            <w:proofErr w:type="gram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2–10</w:t>
            </w:r>
          </w:p>
          <w:p w:rsidR="00451EA5" w:rsidRPr="002C499C" w:rsidRDefault="00451EA5" w:rsidP="00451EA5">
            <w:pPr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2–15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gramStart"/>
            <w:r w:rsidRPr="002C499C">
              <w:rPr>
                <w:rStyle w:val="gram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мм</w:t>
            </w:r>
            <w:proofErr w:type="gram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/ч</w:t>
            </w:r>
          </w:p>
        </w:tc>
      </w:tr>
    </w:tbl>
    <w:p w:rsidR="003B508A" w:rsidRDefault="003B508A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451EA5" w:rsidRPr="002C499C" w:rsidRDefault="00451EA5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Общий анализ мочи</w:t>
      </w:r>
      <w:r w:rsidR="00206BD5">
        <w:rPr>
          <w:rFonts w:ascii="Bookman Old Style" w:hAnsi="Bookman Old Style"/>
          <w:b/>
          <w:i/>
          <w:color w:val="0000FF"/>
          <w:sz w:val="20"/>
          <w:szCs w:val="20"/>
        </w:rPr>
        <w:t>: (18.03.2005)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Цвет – светло-жёлтый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Прозрачность – прозрачная</w:t>
      </w:r>
    </w:p>
    <w:p w:rsidR="00451EA5" w:rsidRPr="002C499C" w:rsidRDefault="003B508A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Относительная плотность – 1041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Реакция – кислая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Белок – 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>--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gramStart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г</w:t>
      </w:r>
      <w:proofErr w:type="gram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/л 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Глюкоза – 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 xml:space="preserve">16,4 </w:t>
      </w:r>
      <w:proofErr w:type="spellStart"/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>мМ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оль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/л 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Кетоновые тела – 0</w:t>
      </w:r>
    </w:p>
    <w:p w:rsidR="00451EA5" w:rsidRPr="002C499C" w:rsidRDefault="00451EA5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Реакция на кровь – 0</w:t>
      </w:r>
    </w:p>
    <w:p w:rsidR="00451EA5" w:rsidRPr="002C499C" w:rsidRDefault="003B508A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Эпителий: плоский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--</w:t>
      </w:r>
      <w:proofErr w:type="gramEnd"/>
    </w:p>
    <w:p w:rsidR="00451EA5" w:rsidRPr="002C499C" w:rsidRDefault="003B508A" w:rsidP="00451EA5">
      <w:pPr>
        <w:pBdr>
          <w:bottom w:val="single" w:sz="12" w:space="1" w:color="auto"/>
        </w:pBd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Лейкоциты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: --</w:t>
      </w:r>
      <w:proofErr w:type="gramEnd"/>
    </w:p>
    <w:p w:rsidR="00451EA5" w:rsidRPr="002C499C" w:rsidRDefault="00451EA5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Дина</w:t>
      </w:r>
      <w:r w:rsidR="00206BD5">
        <w:rPr>
          <w:rFonts w:ascii="Bookman Old Style" w:hAnsi="Bookman Old Style"/>
          <w:b/>
          <w:i/>
          <w:color w:val="0000FF"/>
          <w:sz w:val="20"/>
          <w:szCs w:val="20"/>
        </w:rPr>
        <w:t>мика содержания глюкозы в крови:</w:t>
      </w:r>
    </w:p>
    <w:p w:rsidR="00451EA5" w:rsidRPr="002C499C" w:rsidRDefault="003B508A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18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.0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3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.2005:</w:t>
      </w:r>
    </w:p>
    <w:p w:rsidR="00451EA5" w:rsidRPr="002C499C" w:rsidRDefault="003B508A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10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  <w:vertAlign w:val="superscript"/>
        </w:rPr>
        <w:t>00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–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9,1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мМ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оль</w:t>
      </w:r>
      <w:proofErr w:type="spellEnd"/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/л</w:t>
      </w:r>
    </w:p>
    <w:p w:rsidR="00451EA5" w:rsidRPr="002C499C" w:rsidRDefault="003B508A" w:rsidP="00451EA5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12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  <w:vertAlign w:val="superscript"/>
        </w:rPr>
        <w:t>00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– 9,0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мМ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оль</w:t>
      </w:r>
      <w:proofErr w:type="spellEnd"/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/л</w:t>
      </w:r>
    </w:p>
    <w:p w:rsidR="00451EA5" w:rsidRPr="002C499C" w:rsidRDefault="00451EA5" w:rsidP="00451EA5">
      <w:pPr>
        <w:pBdr>
          <w:bottom w:val="single" w:sz="12" w:space="1" w:color="auto"/>
        </w:pBd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1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>7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  <w:vertAlign w:val="superscript"/>
        </w:rPr>
        <w:t>00</w:t>
      </w:r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 xml:space="preserve"> – 17,8 </w:t>
      </w:r>
      <w:proofErr w:type="spellStart"/>
      <w:r w:rsidR="003B508A">
        <w:rPr>
          <w:rFonts w:ascii="Bookman Old Style" w:hAnsi="Bookman Old Style"/>
          <w:b/>
          <w:i/>
          <w:color w:val="0000FF"/>
          <w:sz w:val="20"/>
          <w:szCs w:val="20"/>
        </w:rPr>
        <w:t>мМ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оль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/л</w:t>
      </w:r>
    </w:p>
    <w:p w:rsidR="003511E7" w:rsidRDefault="003511E7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3511E7" w:rsidRDefault="003511E7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451EA5" w:rsidRPr="002C499C" w:rsidRDefault="00451EA5" w:rsidP="003B508A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lastRenderedPageBreak/>
        <w:t>ЭКГ</w:t>
      </w:r>
      <w:r w:rsidR="00206BD5">
        <w:rPr>
          <w:rFonts w:ascii="Bookman Old Style" w:hAnsi="Bookman Old Style"/>
          <w:b/>
          <w:i/>
          <w:color w:val="0000FF"/>
          <w:sz w:val="20"/>
          <w:szCs w:val="20"/>
        </w:rPr>
        <w:t>: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451EA5" w:rsidRPr="002C499C" w:rsidRDefault="00206BD5" w:rsidP="00451EA5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Синусовая тахикардия с частотой 110 уд/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мин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, нормальное положение ЭОС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перегрузка правого предсердия, вероятно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тахикардиального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характера; синдром ранней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реполяризации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желудочков;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блокада правой ножки пучка </w:t>
      </w:r>
      <w:proofErr w:type="spellStart"/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Гисса</w:t>
      </w:r>
      <w:proofErr w:type="spellEnd"/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206BD5" w:rsidRDefault="00206BD5" w:rsidP="00206BD5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206BD5" w:rsidRDefault="00451EA5" w:rsidP="00206BD5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Консультаци</w:t>
      </w:r>
      <w:r w:rsidR="00206BD5">
        <w:rPr>
          <w:rFonts w:ascii="Bookman Old Style" w:hAnsi="Bookman Old Style"/>
          <w:b/>
          <w:i/>
          <w:color w:val="0000FF"/>
          <w:sz w:val="20"/>
          <w:szCs w:val="20"/>
        </w:rPr>
        <w:t>я невропатолога: (18.03.2005)</w:t>
      </w:r>
    </w:p>
    <w:p w:rsidR="00206BD5" w:rsidRDefault="00206BD5" w:rsidP="00206BD5">
      <w:pPr>
        <w:pBdr>
          <w:bottom w:val="single" w:sz="12" w:space="1" w:color="auto"/>
        </w:pBd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Диабетическая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полиневропатия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. Сенсорн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о-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моторная форма.</w:t>
      </w:r>
    </w:p>
    <w:p w:rsidR="00451EA5" w:rsidRPr="002C499C" w:rsidRDefault="00451EA5" w:rsidP="00206BD5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Консультация офтальмолога</w:t>
      </w:r>
      <w:r w:rsidR="00206BD5">
        <w:rPr>
          <w:rFonts w:ascii="Bookman Old Style" w:hAnsi="Bookman Old Style"/>
          <w:b/>
          <w:i/>
          <w:color w:val="0000FF"/>
          <w:sz w:val="20"/>
          <w:szCs w:val="20"/>
        </w:rPr>
        <w:t>: (1.03.2005)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206BD5" w:rsidRPr="00206BD5" w:rsidRDefault="00206BD5" w:rsidP="00206BD5">
      <w:pPr>
        <w:pBdr>
          <w:bottom w:val="single" w:sz="12" w:space="1" w:color="auto"/>
        </w:pBd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Диабетическая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ангиопатия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сетчатки глаза.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206BD5" w:rsidRDefault="00206BD5" w:rsidP="00206BD5">
      <w:pPr>
        <w:spacing w:before="100" w:beforeAutospacing="1" w:after="100" w:afterAutospacing="1"/>
        <w:rPr>
          <w:rFonts w:ascii="Bookman Old Style" w:hAnsi="Bookman Old Style"/>
          <w:b/>
          <w:bCs/>
          <w:i/>
          <w:color w:val="0000FF"/>
          <w:sz w:val="20"/>
          <w:szCs w:val="20"/>
        </w:rPr>
      </w:pPr>
    </w:p>
    <w:p w:rsidR="002031A5" w:rsidRPr="003511E7" w:rsidRDefault="002031A5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color w:val="0000FF"/>
          <w:u w:val="single"/>
        </w:rPr>
        <w:t>ОКОНЧАТЕЛЬНЫЙ ДИАГНОЗ:</w:t>
      </w:r>
    </w:p>
    <w:p w:rsidR="00451EA5" w:rsidRDefault="00451EA5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Сахарный диабет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, 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I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тип,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средней степени тяжести,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 стадии декомпенсации. ОСЛОЖНЕНИЯ: </w:t>
      </w:r>
      <w:proofErr w:type="gram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д</w:t>
      </w:r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иабетическая</w:t>
      </w:r>
      <w:proofErr w:type="gramEnd"/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непролиферативная</w:t>
      </w:r>
      <w:proofErr w:type="spellEnd"/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ретинопатиия</w:t>
      </w:r>
      <w:proofErr w:type="spellEnd"/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>, диабетическая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полинейропатия</w:t>
      </w:r>
      <w:proofErr w:type="spellEnd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r w:rsidR="002031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         </w:t>
      </w:r>
    </w:p>
    <w:p w:rsidR="002031A5" w:rsidRPr="002C499C" w:rsidRDefault="002031A5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451EA5" w:rsidRPr="002C499C" w:rsidRDefault="002031A5" w:rsidP="002031A5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bCs/>
          <w:i/>
          <w:color w:val="0000FF"/>
          <w:sz w:val="20"/>
          <w:szCs w:val="20"/>
        </w:rPr>
        <w:t>Обоснование окончательного</w:t>
      </w:r>
      <w:r w:rsidR="00451EA5" w:rsidRPr="002C499C">
        <w:rPr>
          <w:rFonts w:ascii="Bookman Old Style" w:hAnsi="Bookman Old Style"/>
          <w:b/>
          <w:bCs/>
          <w:i/>
          <w:color w:val="0000FF"/>
          <w:sz w:val="20"/>
          <w:szCs w:val="20"/>
        </w:rPr>
        <w:t xml:space="preserve"> диагноза: 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2031A5" w:rsidRDefault="00451EA5" w:rsidP="002031A5">
      <w:pPr>
        <w:pBdr>
          <w:bottom w:val="single" w:sz="12" w:space="14" w:color="auto"/>
        </w:pBd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Диагноз сахарный диабет был поставлен на основании жалоб: полиурия, полидипсия, слабость, похудание – синдром гипергликемии; ослабление и затуманенность зрения – синдром диабетической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ретинопатии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; боль в ногах,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онемение стоп,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парестезии – синдром диабетической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полинейропатии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. На основании истории настоящего заболевания, проводимое лечение препаратами инсулина, способствует купированию данных симптомов. На основании данных объективного осмотра: астеническое те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лосложение, ВМИ 19,5,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похудание. Кожные покровы влажные, 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дрожание кистей. Тахикардия 110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ударов в минуту. </w:t>
      </w:r>
      <w:r w:rsidRPr="002C499C">
        <w:rPr>
          <w:rStyle w:val="grame"/>
          <w:rFonts w:ascii="Bookman Old Style" w:hAnsi="Bookman Old Style"/>
          <w:b/>
          <w:i/>
          <w:color w:val="0000FF"/>
          <w:sz w:val="20"/>
          <w:szCs w:val="20"/>
        </w:rPr>
        <w:t>На основании анализа крови на глюкозу пиковые значения глюкозы даже в условиях стационарного лечения инсулином достигают 1</w:t>
      </w:r>
      <w:r w:rsidR="002031A5">
        <w:rPr>
          <w:rStyle w:val="grame"/>
          <w:rFonts w:ascii="Bookman Old Style" w:hAnsi="Bookman Old Style"/>
          <w:b/>
          <w:i/>
          <w:color w:val="0000FF"/>
          <w:sz w:val="20"/>
          <w:szCs w:val="20"/>
        </w:rPr>
        <w:t>7</w:t>
      </w:r>
      <w:r w:rsidRPr="002C499C">
        <w:rPr>
          <w:rStyle w:val="grame"/>
          <w:rFonts w:ascii="Bookman Old Style" w:hAnsi="Bookman Old Style"/>
          <w:b/>
          <w:i/>
          <w:color w:val="0000FF"/>
          <w:sz w:val="20"/>
          <w:szCs w:val="20"/>
        </w:rPr>
        <w:t xml:space="preserve">,8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ммоль</w:t>
      </w:r>
      <w:proofErr w:type="spellEnd"/>
      <w:r w:rsidRPr="002C499C">
        <w:rPr>
          <w:rStyle w:val="grame"/>
          <w:rFonts w:ascii="Bookman Old Style" w:hAnsi="Bookman Old Style"/>
          <w:b/>
          <w:i/>
          <w:color w:val="0000FF"/>
          <w:sz w:val="20"/>
          <w:szCs w:val="20"/>
        </w:rPr>
        <w:t xml:space="preserve">/л. На основании консультации невролога: </w:t>
      </w:r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Диабетическая </w:t>
      </w:r>
      <w:proofErr w:type="spell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полиневропатия</w:t>
      </w:r>
      <w:proofErr w:type="spellEnd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. Сенсорн</w:t>
      </w:r>
      <w:proofErr w:type="gram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о-</w:t>
      </w:r>
      <w:proofErr w:type="gramEnd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моторная форма.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На основании консультации офтальмолога: </w:t>
      </w:r>
      <w:proofErr w:type="gram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Диабетическая</w:t>
      </w:r>
      <w:proofErr w:type="gramEnd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>ангиопатия</w:t>
      </w:r>
      <w:proofErr w:type="spellEnd"/>
      <w:r w:rsidR="002031A5">
        <w:rPr>
          <w:rFonts w:ascii="Bookman Old Style" w:hAnsi="Bookman Old Style"/>
          <w:b/>
          <w:i/>
          <w:color w:val="0000FF"/>
          <w:sz w:val="20"/>
          <w:szCs w:val="20"/>
        </w:rPr>
        <w:t xml:space="preserve"> сетчатки глаза.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FB1189" w:rsidRDefault="00FB1189" w:rsidP="002031A5">
      <w:pPr>
        <w:pBdr>
          <w:bottom w:val="single" w:sz="12" w:space="14" w:color="auto"/>
        </w:pBd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FB1189" w:rsidRPr="003511E7" w:rsidRDefault="00FB1189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i/>
          <w:color w:val="0000FF"/>
          <w:u w:val="single"/>
        </w:rPr>
        <w:t>ДИФФЕРЕНЦИАЛЬНЫЙ ДИАГНОЗ:</w:t>
      </w:r>
    </w:p>
    <w:tbl>
      <w:tblPr>
        <w:tblW w:w="9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4763"/>
      </w:tblGrid>
      <w:tr w:rsidR="00451EA5" w:rsidRPr="002C499C">
        <w:trPr>
          <w:trHeight w:val="317"/>
          <w:tblCellSpacing w:w="0" w:type="dxa"/>
        </w:trPr>
        <w:tc>
          <w:tcPr>
            <w:tcW w:w="4967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Болезнь </w:t>
            </w:r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Иценко-</w:t>
            </w: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Кушинга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Сахарный диабет</w:t>
            </w:r>
          </w:p>
        </w:tc>
      </w:tr>
      <w:tr w:rsidR="00451EA5" w:rsidRPr="002C499C">
        <w:trPr>
          <w:trHeight w:val="1305"/>
          <w:tblCellSpacing w:w="0" w:type="dxa"/>
        </w:trPr>
        <w:tc>
          <w:tcPr>
            <w:tcW w:w="4967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Гипергликемия носит эпизодический характер, нормализация углеводного обмена происходит при </w:t>
            </w:r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излечении</w:t>
            </w: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основного заболевания.</w:t>
            </w:r>
          </w:p>
        </w:tc>
        <w:tc>
          <w:tcPr>
            <w:tcW w:w="4763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Гипергликемия носит постоянный характер, высокий уровень, обнаруживается натощак, часто сопровождается </w:t>
            </w: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глюкозурией</w:t>
            </w:r>
            <w:proofErr w:type="spellEnd"/>
          </w:p>
        </w:tc>
      </w:tr>
      <w:tr w:rsidR="00451EA5" w:rsidRPr="002C499C">
        <w:trPr>
          <w:trHeight w:val="337"/>
          <w:tblCellSpacing w:w="0" w:type="dxa"/>
        </w:trPr>
        <w:tc>
          <w:tcPr>
            <w:tcW w:w="4967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Почечный диабет</w:t>
            </w:r>
          </w:p>
        </w:tc>
        <w:tc>
          <w:tcPr>
            <w:tcW w:w="4763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Сахарный диабет</w:t>
            </w:r>
          </w:p>
        </w:tc>
      </w:tr>
      <w:tr w:rsidR="00451EA5" w:rsidRPr="002C499C">
        <w:trPr>
          <w:trHeight w:val="1641"/>
          <w:tblCellSpacing w:w="0" w:type="dxa"/>
        </w:trPr>
        <w:tc>
          <w:tcPr>
            <w:tcW w:w="4967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lastRenderedPageBreak/>
              <w:t>Глюкозурия</w:t>
            </w:r>
            <w:proofErr w:type="spell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не зависит от количества вводимых углеводов, не сопровождается гипергликемией или нарушением толерантности к углеводам. Отсутствуют анги</w:t>
            </w:r>
            <w:proofErr w:type="gramStart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о-</w:t>
            </w:r>
            <w:proofErr w:type="gram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и </w:t>
            </w: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нейропатии</w:t>
            </w:r>
            <w:proofErr w:type="spell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Глюкозурия</w:t>
            </w:r>
            <w:proofErr w:type="spell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зависит от количества вводимых углеводов, сопровождается гипергликемией или нарушением толерантности к углеводам.</w:t>
            </w:r>
            <w:r w:rsidR="00FB1189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Осложнения в виде </w:t>
            </w:r>
            <w:proofErr w:type="spellStart"/>
            <w:r w:rsidR="00FB1189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полинейропатий</w:t>
            </w:r>
            <w:proofErr w:type="spellEnd"/>
            <w:r w:rsidR="00FB1189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 и </w:t>
            </w:r>
            <w:proofErr w:type="spellStart"/>
            <w:r w:rsidR="00FB1189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ангиопатий</w:t>
            </w:r>
            <w:proofErr w:type="spellEnd"/>
            <w:r w:rsidR="00FB1189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.</w:t>
            </w:r>
          </w:p>
        </w:tc>
      </w:tr>
      <w:tr w:rsidR="00451EA5" w:rsidRPr="002C499C">
        <w:trPr>
          <w:trHeight w:val="317"/>
          <w:tblCellSpacing w:w="0" w:type="dxa"/>
        </w:trPr>
        <w:tc>
          <w:tcPr>
            <w:tcW w:w="4967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Несахарный диабет</w:t>
            </w:r>
          </w:p>
        </w:tc>
        <w:tc>
          <w:tcPr>
            <w:tcW w:w="4763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Сахарный диабет</w:t>
            </w:r>
          </w:p>
        </w:tc>
      </w:tr>
      <w:tr w:rsidR="00451EA5" w:rsidRPr="002C499C">
        <w:trPr>
          <w:trHeight w:val="988"/>
          <w:tblCellSpacing w:w="0" w:type="dxa"/>
        </w:trPr>
        <w:tc>
          <w:tcPr>
            <w:tcW w:w="4967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Полиурия не сочетается с </w:t>
            </w: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глюкозурией</w:t>
            </w:r>
            <w:proofErr w:type="spell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, высокой относительной плотностью мочи и гипергликемией</w:t>
            </w:r>
          </w:p>
        </w:tc>
        <w:tc>
          <w:tcPr>
            <w:tcW w:w="4763" w:type="dxa"/>
            <w:shd w:val="clear" w:color="auto" w:fill="auto"/>
          </w:tcPr>
          <w:p w:rsidR="00451EA5" w:rsidRPr="002C499C" w:rsidRDefault="00451EA5" w:rsidP="00451E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</w:pPr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 xml:space="preserve">Полиурия сочетается с </w:t>
            </w:r>
            <w:proofErr w:type="spellStart"/>
            <w:r w:rsidRPr="002C499C">
              <w:rPr>
                <w:rStyle w:val="spelle"/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глюкозурией</w:t>
            </w:r>
            <w:proofErr w:type="spellEnd"/>
            <w:r w:rsidRPr="002C499C"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</w:rPr>
              <w:t>, высокой относительной плотностью мочи и гипергликемией</w:t>
            </w:r>
          </w:p>
        </w:tc>
      </w:tr>
    </w:tbl>
    <w:p w:rsidR="003511E7" w:rsidRPr="003511E7" w:rsidRDefault="003511E7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bCs/>
          <w:i/>
          <w:color w:val="0000FF"/>
          <w:u w:val="single"/>
        </w:rPr>
      </w:pPr>
    </w:p>
    <w:p w:rsidR="00451EA5" w:rsidRPr="003511E7" w:rsidRDefault="00FB1189" w:rsidP="00451EA5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u w:val="single"/>
        </w:rPr>
      </w:pPr>
      <w:r w:rsidRPr="003511E7">
        <w:rPr>
          <w:rFonts w:ascii="Bookman Old Style" w:hAnsi="Bookman Old Style"/>
          <w:b/>
          <w:bCs/>
          <w:i/>
          <w:color w:val="0000FF"/>
          <w:u w:val="single"/>
        </w:rPr>
        <w:t>ПЛАН ЛЕЧЕНИЯ:</w:t>
      </w:r>
      <w:r w:rsidR="00451EA5" w:rsidRPr="003511E7">
        <w:rPr>
          <w:rFonts w:ascii="Bookman Old Style" w:hAnsi="Bookman Old Style"/>
          <w:b/>
          <w:bCs/>
          <w:i/>
          <w:color w:val="0000FF"/>
          <w:u w:val="single"/>
        </w:rPr>
        <w:t xml:space="preserve"> </w:t>
      </w:r>
    </w:p>
    <w:p w:rsidR="00451EA5" w:rsidRPr="002C499C" w:rsidRDefault="00451EA5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Стол №9</w:t>
      </w:r>
      <w:r w:rsidR="00FB1189"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451EA5" w:rsidRPr="002C499C" w:rsidRDefault="00451EA5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Высокобелковая диета для купирования истощения</w:t>
      </w:r>
      <w:r w:rsidR="00FB1189"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451EA5" w:rsidRPr="002C499C" w:rsidRDefault="00FB1189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ЛФК</w:t>
      </w:r>
      <w:proofErr w:type="gramStart"/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  <w:proofErr w:type="gramEnd"/>
    </w:p>
    <w:p w:rsidR="00451EA5" w:rsidRPr="002C499C" w:rsidRDefault="00451EA5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="00FB1189">
        <w:rPr>
          <w:rFonts w:ascii="Bookman Old Style" w:hAnsi="Bookman Old Style"/>
          <w:b/>
          <w:i/>
          <w:color w:val="0000FF"/>
          <w:sz w:val="20"/>
          <w:szCs w:val="20"/>
        </w:rPr>
        <w:t>ФТЛ;</w:t>
      </w:r>
    </w:p>
    <w:p w:rsidR="00451EA5" w:rsidRPr="002C499C" w:rsidRDefault="00FB1189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Витаминотерапи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я-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вит. Е, поливитамины;</w:t>
      </w:r>
      <w:r w:rsidR="00451EA5"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451EA5" w:rsidRPr="002C499C" w:rsidRDefault="00FB1189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Энелбин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</w:p>
    <w:p w:rsidR="00451EA5" w:rsidRPr="002C499C" w:rsidRDefault="00FB1189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Ретард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</w:p>
    <w:p w:rsidR="00451EA5" w:rsidRPr="002C499C" w:rsidRDefault="00FB1189" w:rsidP="00451EA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Милдронат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натрия;</w:t>
      </w:r>
    </w:p>
    <w:p w:rsidR="00FB1189" w:rsidRDefault="00FB1189" w:rsidP="00FB1189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>Инсулинотерапия: - 8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  <w:vertAlign w:val="superscript"/>
        </w:rPr>
        <w:t>00</w:t>
      </w:r>
      <w:r>
        <w:rPr>
          <w:rFonts w:ascii="Bookman Old Style" w:hAnsi="Bookman Old Style"/>
          <w:b/>
          <w:i/>
          <w:color w:val="0000FF"/>
          <w:sz w:val="20"/>
          <w:szCs w:val="20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- 6 ЕД «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» + 18 ЕД «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Б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>»</w:t>
      </w:r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FB1189" w:rsidRDefault="00FB1189" w:rsidP="00FB1189">
      <w:pPr>
        <w:spacing w:before="100" w:beforeAutospacing="1" w:after="100" w:afterAutospacing="1"/>
        <w:ind w:left="360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                                    - 17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u w:val="single"/>
          <w:vertAlign w:val="superscript"/>
        </w:rPr>
        <w:t>00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– 6 ЕД «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>» + 14 ЕД «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Монодар</w:t>
      </w:r>
      <w:proofErr w:type="spellEnd"/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Б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>»</w:t>
      </w:r>
      <w:r w:rsidR="003511E7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3511E7" w:rsidRDefault="003511E7" w:rsidP="00FB1189">
      <w:pPr>
        <w:spacing w:before="100" w:beforeAutospacing="1" w:after="100" w:afterAutospacing="1"/>
        <w:ind w:left="360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     С последующей коррекцией дозы и вида инсулина.</w:t>
      </w:r>
    </w:p>
    <w:p w:rsidR="00204E6E" w:rsidRDefault="00204E6E" w:rsidP="00FB1189">
      <w:pPr>
        <w:spacing w:before="100" w:beforeAutospacing="1" w:after="100" w:afterAutospacing="1"/>
        <w:ind w:left="360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204E6E" w:rsidRDefault="00204E6E" w:rsidP="00204E6E">
      <w:pPr>
        <w:pStyle w:val="a3"/>
        <w:ind w:firstLine="0"/>
        <w:rPr>
          <w:rFonts w:ascii="Bookman Old Style" w:hAnsi="Bookman Old Style" w:cs="Arial"/>
          <w:b/>
          <w:i/>
          <w:color w:val="0000FF"/>
          <w:sz w:val="20"/>
          <w:szCs w:val="20"/>
        </w:rPr>
      </w:pPr>
      <w:r w:rsidRPr="00204E6E">
        <w:rPr>
          <w:rFonts w:ascii="Bookman Old Style" w:hAnsi="Bookman Old Style" w:cs="Arial"/>
          <w:b/>
          <w:bCs/>
          <w:i/>
          <w:color w:val="0000FF"/>
          <w:u w:val="single"/>
        </w:rPr>
        <w:t>ЭПИКРИЗ:</w:t>
      </w:r>
    </w:p>
    <w:p w:rsidR="00204E6E" w:rsidRPr="002C499C" w:rsidRDefault="00204E6E" w:rsidP="00204E6E">
      <w:pPr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br/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Больной Дементьев Борис Павлович, 1954 года рождения, поступил 18.03.2005г.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с жалобами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н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а головную боль сжимающего характера, дрожь в руках, потливость ладоней и стоп, данные жалобы возникают у пациента независимо от приема пищи, времени суток и приема инсулина. На головокружение в душной комнате, которое постепенно проходит на свежем воздухе. На похудание, мелькание «мушек» перед глазами, затуманенность, парестезии в конечностях. На боль и онемение в области пальцев стопы.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</w:p>
    <w:p w:rsidR="00204E6E" w:rsidRDefault="00204E6E" w:rsidP="00204E6E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>Болен с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ахарным диабетом в течение 5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лет. При первичной госпитализации уро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вень глюкозы в крови составил 18,2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</w:t>
      </w:r>
      <w:proofErr w:type="spellStart"/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>ммоль</w:t>
      </w:r>
      <w:proofErr w:type="spellEnd"/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/л. Постоянно принимает препараты 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инсулина. За последние 0,5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года состояние ухудшилось: ухудшилось зрение, появились головные боли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, потеря массы тела до 10 кг</w:t>
      </w:r>
      <w:proofErr w:type="gramStart"/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.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. </w:t>
      </w:r>
      <w:proofErr w:type="gramEnd"/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>Объективно: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Общее состояние удовлетворительное.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Положение пациента в постели активное.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Сознание ясно.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</w:rPr>
        <w:t>Астеническое телосложение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, рост 165 см, масса 54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,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5 кг. ВМИ- 19,5 Выражение лица обычное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Тембр голоса высокий. Отмечается полное выпадение зубов. Язык сухой, запаха ацетона изо рта нет. Кожный покров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однороден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. На нижних конечностях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отмечается шелушение на передней поверхности голени, влажность повышена, эластичность нормальная. Толщина кожной складки у нижнего угла лопатки и на передней брюшной стенке 1 см. Отёки не обнаруживаются. Нижние конечности на ощупь прохладные, влажность повышена. Пульсация на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a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  <w:lang w:val="en-US"/>
        </w:rPr>
        <w:t>dorsalis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  <w:lang w:val="en-US"/>
        </w:rPr>
        <w:t>pedis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и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a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proofErr w:type="spellStart"/>
      <w:r w:rsidRPr="002C499C">
        <w:rPr>
          <w:rStyle w:val="spelle"/>
          <w:rFonts w:ascii="Bookman Old Style" w:hAnsi="Bookman Old Style"/>
          <w:b/>
          <w:i/>
          <w:color w:val="0000FF"/>
          <w:sz w:val="20"/>
          <w:szCs w:val="20"/>
          <w:lang w:val="en-US"/>
        </w:rPr>
        <w:t>tibialis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  <w:lang w:val="en-US"/>
        </w:rPr>
        <w:t>anterior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слабого наполнения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Отмечается дрожание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кистей.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Щитовидная железа не увеличена.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Общее развитие мышц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lastRenderedPageBreak/>
        <w:t>удовлетворительное, болезненность при пальпации отсутствует, тонус одинаков с обеих сторон.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Отмечается гипотрофия мышц голени и стоп. 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При обследовании костей болезненность и деформации не наблюдается.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Сердечная деятельность ритмичная, ЧСС- 110 уд/мин., АД- 120/80 мм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/>
          <w:color w:val="0000FF"/>
          <w:sz w:val="20"/>
          <w:szCs w:val="20"/>
        </w:rPr>
        <w:t>р</w:t>
      </w:r>
      <w:proofErr w:type="gramEnd"/>
      <w:r>
        <w:rPr>
          <w:rFonts w:ascii="Bookman Old Style" w:hAnsi="Bookman Old Style"/>
          <w:b/>
          <w:i/>
          <w:color w:val="0000FF"/>
          <w:sz w:val="20"/>
          <w:szCs w:val="20"/>
        </w:rPr>
        <w:t>т. ст. Диурез до 2 л/сутки.</w:t>
      </w:r>
    </w:p>
    <w:p w:rsidR="00204E6E" w:rsidRPr="002C499C" w:rsidRDefault="00204E6E" w:rsidP="00204E6E">
      <w:pPr>
        <w:spacing w:before="100" w:beforeAutospacing="1" w:after="100" w:afterAutospacing="1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>На ЭКГ –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Синусовая тахикардия с частотой 110 уд/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мин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>, нормальное положение ЭОС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;</w:t>
      </w:r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перегрузка правого предсердия, вероятно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тахикардиального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характера; синдром ранней </w:t>
      </w:r>
      <w:proofErr w:type="spellStart"/>
      <w:r>
        <w:rPr>
          <w:rFonts w:ascii="Bookman Old Style" w:hAnsi="Bookman Old Style"/>
          <w:b/>
          <w:i/>
          <w:color w:val="0000FF"/>
          <w:sz w:val="20"/>
          <w:szCs w:val="20"/>
        </w:rPr>
        <w:t>реполяризации</w:t>
      </w:r>
      <w:proofErr w:type="spellEnd"/>
      <w:r>
        <w:rPr>
          <w:rFonts w:ascii="Bookman Old Style" w:hAnsi="Bookman Old Style"/>
          <w:b/>
          <w:i/>
          <w:color w:val="0000FF"/>
          <w:sz w:val="20"/>
          <w:szCs w:val="20"/>
        </w:rPr>
        <w:t xml:space="preserve"> желудочков;</w:t>
      </w:r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 xml:space="preserve"> блокада правой ножки пучка </w:t>
      </w:r>
      <w:proofErr w:type="spellStart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Гисса</w:t>
      </w:r>
      <w:proofErr w:type="spellEnd"/>
      <w:r w:rsidRPr="002C499C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</w:p>
    <w:p w:rsidR="00204E6E" w:rsidRPr="00204E6E" w:rsidRDefault="00204E6E" w:rsidP="00204E6E">
      <w:pPr>
        <w:spacing w:before="100" w:beforeAutospacing="1" w:after="100" w:afterAutospacing="1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>На основании анамнеза, расспроса, осмотра, данных лабораторных и инструментальных методов лечения, поставлен диагноз: Сахарный диабет, 1 тип, средняя степень тяжести, декомпенсация</w:t>
      </w:r>
      <w:proofErr w:type="gramStart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>.</w:t>
      </w:r>
      <w:proofErr w:type="gramEnd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>н</w:t>
      </w:r>
      <w:proofErr w:type="gramEnd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>епролиферативная</w:t>
      </w:r>
      <w:proofErr w:type="spellEnd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proofErr w:type="spellStart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>ретинопатиия</w:t>
      </w:r>
      <w:proofErr w:type="spellEnd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 xml:space="preserve">,  дистальная сенсорная </w:t>
      </w:r>
      <w:proofErr w:type="spellStart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>полинейропатия</w:t>
      </w:r>
      <w:proofErr w:type="spellEnd"/>
      <w:r w:rsidRPr="00204E6E">
        <w:rPr>
          <w:rFonts w:ascii="Bookman Old Style" w:hAnsi="Bookman Old Style"/>
          <w:b/>
          <w:i/>
          <w:color w:val="0000FF"/>
          <w:sz w:val="20"/>
          <w:szCs w:val="20"/>
        </w:rPr>
        <w:t xml:space="preserve">. </w:t>
      </w:r>
    </w:p>
    <w:p w:rsidR="00204E6E" w:rsidRPr="00204E6E" w:rsidRDefault="00204E6E" w:rsidP="00204E6E">
      <w:pPr>
        <w:pStyle w:val="a3"/>
        <w:ind w:firstLine="0"/>
        <w:rPr>
          <w:rFonts w:ascii="Bookman Old Style" w:hAnsi="Bookman Old Style" w:cs="Arial"/>
          <w:b/>
          <w:i/>
          <w:color w:val="0000FF"/>
          <w:sz w:val="20"/>
          <w:szCs w:val="20"/>
        </w:rPr>
      </w:pP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>Больно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>й получал препараты инсулина (50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 ЕД в сутки), назначен стол №9. Во время нахождения в больнице состояние больного в плане коррекции СД улучшилось (уровень глюкозы значительно приблизился </w:t>
      </w:r>
      <w:r>
        <w:rPr>
          <w:rFonts w:ascii="Bookman Old Style" w:hAnsi="Bookman Old Style" w:cs="Arial"/>
          <w:b/>
          <w:i/>
          <w:color w:val="0000FF"/>
          <w:sz w:val="20"/>
          <w:szCs w:val="20"/>
        </w:rPr>
        <w:t xml:space="preserve">к нормальному). В общем лечение можно оценить 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t>как эффективное.</w:t>
      </w:r>
      <w:r w:rsidRPr="00204E6E">
        <w:rPr>
          <w:rFonts w:ascii="Bookman Old Style" w:hAnsi="Bookman Old Style" w:cs="Arial"/>
          <w:b/>
          <w:i/>
          <w:color w:val="0000FF"/>
          <w:sz w:val="20"/>
          <w:szCs w:val="20"/>
        </w:rPr>
        <w:br/>
        <w:t>Рекомендации участковому врачу: посоветовать больному выполнять упражнения для сохранения и улучшения трофики конечностей, соблюдать диету, контролировать уровень глюкозы в крови, питаться полноценно и разнообразно.  Посоветовать ему носить удобную одежду и обувь. Контролировать АД пациента, постоянно следить за уровнем холестерина и липидов крови.</w:t>
      </w:r>
    </w:p>
    <w:p w:rsidR="00204E6E" w:rsidRPr="00204E6E" w:rsidRDefault="00204E6E" w:rsidP="00204E6E">
      <w:pPr>
        <w:rPr>
          <w:rFonts w:ascii="Bookman Old Style" w:hAnsi="Bookman Old Style"/>
          <w:b/>
          <w:i/>
          <w:color w:val="0000FF"/>
          <w:sz w:val="20"/>
          <w:szCs w:val="20"/>
        </w:rPr>
      </w:pPr>
    </w:p>
    <w:p w:rsidR="00204E6E" w:rsidRPr="00204E6E" w:rsidRDefault="00204E6E" w:rsidP="00FB1189">
      <w:pPr>
        <w:spacing w:before="100" w:beforeAutospacing="1" w:after="100" w:afterAutospacing="1"/>
        <w:ind w:left="360"/>
        <w:jc w:val="both"/>
        <w:rPr>
          <w:rFonts w:ascii="Bookman Old Style" w:hAnsi="Bookman Old Style"/>
          <w:b/>
          <w:i/>
          <w:color w:val="0000FF"/>
          <w:sz w:val="20"/>
          <w:szCs w:val="20"/>
        </w:rPr>
      </w:pPr>
    </w:p>
    <w:sectPr w:rsidR="00204E6E" w:rsidRPr="00204E6E" w:rsidSect="009521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E64"/>
    <w:multiLevelType w:val="multilevel"/>
    <w:tmpl w:val="3EFCC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48B2"/>
    <w:multiLevelType w:val="multilevel"/>
    <w:tmpl w:val="12F0D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59A"/>
    <w:multiLevelType w:val="multilevel"/>
    <w:tmpl w:val="064E3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C0B6F"/>
    <w:multiLevelType w:val="multilevel"/>
    <w:tmpl w:val="90160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94D9C"/>
    <w:multiLevelType w:val="multilevel"/>
    <w:tmpl w:val="2130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1479B"/>
    <w:multiLevelType w:val="multilevel"/>
    <w:tmpl w:val="A1222F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E0C67"/>
    <w:multiLevelType w:val="multilevel"/>
    <w:tmpl w:val="E7DA2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A3B1A"/>
    <w:multiLevelType w:val="multilevel"/>
    <w:tmpl w:val="3660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E2CC0"/>
    <w:multiLevelType w:val="multilevel"/>
    <w:tmpl w:val="F034C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92079"/>
    <w:multiLevelType w:val="multilevel"/>
    <w:tmpl w:val="CDE2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C3F1F"/>
    <w:multiLevelType w:val="multilevel"/>
    <w:tmpl w:val="78C21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103C6"/>
    <w:multiLevelType w:val="multilevel"/>
    <w:tmpl w:val="EAD0B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B0884"/>
    <w:multiLevelType w:val="multilevel"/>
    <w:tmpl w:val="DE0E4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40189"/>
    <w:multiLevelType w:val="multilevel"/>
    <w:tmpl w:val="1ED07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C0C39"/>
    <w:multiLevelType w:val="multilevel"/>
    <w:tmpl w:val="4DEE2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C07A4"/>
    <w:multiLevelType w:val="multilevel"/>
    <w:tmpl w:val="A0BE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66CAF"/>
    <w:multiLevelType w:val="multilevel"/>
    <w:tmpl w:val="7B0E6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B1091"/>
    <w:multiLevelType w:val="multilevel"/>
    <w:tmpl w:val="65C24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76E5D"/>
    <w:multiLevelType w:val="multilevel"/>
    <w:tmpl w:val="6ABAE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F1F5B"/>
    <w:multiLevelType w:val="multilevel"/>
    <w:tmpl w:val="601C8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97580F"/>
    <w:multiLevelType w:val="multilevel"/>
    <w:tmpl w:val="149851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77962"/>
    <w:multiLevelType w:val="hybridMultilevel"/>
    <w:tmpl w:val="16229262"/>
    <w:lvl w:ilvl="0" w:tplc="D584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42477"/>
    <w:multiLevelType w:val="multilevel"/>
    <w:tmpl w:val="4BC054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C130A4"/>
    <w:multiLevelType w:val="multilevel"/>
    <w:tmpl w:val="8CC6F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C522B"/>
    <w:multiLevelType w:val="multilevel"/>
    <w:tmpl w:val="FD5C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B6F95"/>
    <w:multiLevelType w:val="hybridMultilevel"/>
    <w:tmpl w:val="F2843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16F94"/>
    <w:multiLevelType w:val="multilevel"/>
    <w:tmpl w:val="7DDCE0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6C3EFE"/>
    <w:multiLevelType w:val="multilevel"/>
    <w:tmpl w:val="9F806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262E7"/>
    <w:multiLevelType w:val="multilevel"/>
    <w:tmpl w:val="EC424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463F5"/>
    <w:multiLevelType w:val="multilevel"/>
    <w:tmpl w:val="FB1A97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C11616C"/>
    <w:multiLevelType w:val="multilevel"/>
    <w:tmpl w:val="4C96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90787"/>
    <w:multiLevelType w:val="multilevel"/>
    <w:tmpl w:val="DCB48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"/>
  </w:num>
  <w:num w:numId="5">
    <w:abstractNumId w:val="12"/>
  </w:num>
  <w:num w:numId="6">
    <w:abstractNumId w:val="28"/>
  </w:num>
  <w:num w:numId="7">
    <w:abstractNumId w:val="10"/>
  </w:num>
  <w:num w:numId="8">
    <w:abstractNumId w:val="18"/>
  </w:num>
  <w:num w:numId="9">
    <w:abstractNumId w:val="1"/>
  </w:num>
  <w:num w:numId="10">
    <w:abstractNumId w:val="4"/>
  </w:num>
  <w:num w:numId="11">
    <w:abstractNumId w:val="27"/>
  </w:num>
  <w:num w:numId="12">
    <w:abstractNumId w:val="31"/>
  </w:num>
  <w:num w:numId="13">
    <w:abstractNumId w:val="6"/>
  </w:num>
  <w:num w:numId="14">
    <w:abstractNumId w:val="14"/>
  </w:num>
  <w:num w:numId="15">
    <w:abstractNumId w:val="16"/>
  </w:num>
  <w:num w:numId="16">
    <w:abstractNumId w:val="7"/>
  </w:num>
  <w:num w:numId="17">
    <w:abstractNumId w:val="8"/>
  </w:num>
  <w:num w:numId="18">
    <w:abstractNumId w:val="23"/>
  </w:num>
  <w:num w:numId="19">
    <w:abstractNumId w:val="19"/>
  </w:num>
  <w:num w:numId="20">
    <w:abstractNumId w:val="15"/>
  </w:num>
  <w:num w:numId="21">
    <w:abstractNumId w:val="0"/>
  </w:num>
  <w:num w:numId="22">
    <w:abstractNumId w:val="11"/>
  </w:num>
  <w:num w:numId="23">
    <w:abstractNumId w:val="26"/>
  </w:num>
  <w:num w:numId="24">
    <w:abstractNumId w:val="17"/>
  </w:num>
  <w:num w:numId="25">
    <w:abstractNumId w:val="3"/>
  </w:num>
  <w:num w:numId="26">
    <w:abstractNumId w:val="20"/>
  </w:num>
  <w:num w:numId="27">
    <w:abstractNumId w:val="29"/>
  </w:num>
  <w:num w:numId="28">
    <w:abstractNumId w:val="30"/>
  </w:num>
  <w:num w:numId="29">
    <w:abstractNumId w:val="5"/>
  </w:num>
  <w:num w:numId="30">
    <w:abstractNumId w:val="22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A5"/>
    <w:rsid w:val="0004029D"/>
    <w:rsid w:val="00153F73"/>
    <w:rsid w:val="002031A5"/>
    <w:rsid w:val="00204E6E"/>
    <w:rsid w:val="00206BD5"/>
    <w:rsid w:val="002C499C"/>
    <w:rsid w:val="00347014"/>
    <w:rsid w:val="003511E7"/>
    <w:rsid w:val="003B508A"/>
    <w:rsid w:val="003F5F45"/>
    <w:rsid w:val="00451EA5"/>
    <w:rsid w:val="007512F7"/>
    <w:rsid w:val="007E6C01"/>
    <w:rsid w:val="009521FB"/>
    <w:rsid w:val="009C390E"/>
    <w:rsid w:val="00D1263E"/>
    <w:rsid w:val="00DB5F05"/>
    <w:rsid w:val="00E35CEA"/>
    <w:rsid w:val="00F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5"/>
    <w:rPr>
      <w:sz w:val="24"/>
      <w:szCs w:val="24"/>
    </w:rPr>
  </w:style>
  <w:style w:type="paragraph" w:styleId="2">
    <w:name w:val="heading 2"/>
    <w:basedOn w:val="a"/>
    <w:qFormat/>
    <w:rsid w:val="00451E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451EA5"/>
  </w:style>
  <w:style w:type="character" w:customStyle="1" w:styleId="grame">
    <w:name w:val="grame"/>
    <w:basedOn w:val="a0"/>
    <w:rsid w:val="00451EA5"/>
  </w:style>
  <w:style w:type="paragraph" w:styleId="a3">
    <w:name w:val="Normal (Web)"/>
    <w:basedOn w:val="a"/>
    <w:rsid w:val="00204E6E"/>
    <w:pPr>
      <w:spacing w:before="100" w:beforeAutospacing="1" w:after="100" w:afterAutospacing="1"/>
      <w:ind w:firstLine="61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5"/>
    <w:rPr>
      <w:sz w:val="24"/>
      <w:szCs w:val="24"/>
    </w:rPr>
  </w:style>
  <w:style w:type="paragraph" w:styleId="2">
    <w:name w:val="heading 2"/>
    <w:basedOn w:val="a"/>
    <w:qFormat/>
    <w:rsid w:val="00451E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451EA5"/>
  </w:style>
  <w:style w:type="character" w:customStyle="1" w:styleId="grame">
    <w:name w:val="grame"/>
    <w:basedOn w:val="a0"/>
    <w:rsid w:val="00451EA5"/>
  </w:style>
  <w:style w:type="paragraph" w:styleId="a3">
    <w:name w:val="Normal (Web)"/>
    <w:basedOn w:val="a"/>
    <w:rsid w:val="00204E6E"/>
    <w:pPr>
      <w:spacing w:before="100" w:beforeAutospacing="1" w:after="100" w:afterAutospacing="1"/>
      <w:ind w:firstLine="6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Донецкий Государственный Медицинский Университет им</vt:lpstr>
    </vt:vector>
  </TitlesOfParts>
  <Company>ЦЖУ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Государственный Медицинский Университет им</dc:title>
  <dc:creator>Вячеслав</dc:creator>
  <cp:lastModifiedBy>Igor</cp:lastModifiedBy>
  <cp:revision>2</cp:revision>
  <dcterms:created xsi:type="dcterms:W3CDTF">2024-03-19T12:52:00Z</dcterms:created>
  <dcterms:modified xsi:type="dcterms:W3CDTF">2024-03-19T12:52:00Z</dcterms:modified>
</cp:coreProperties>
</file>