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8A" w:rsidRDefault="00BC3E8A">
      <w:pPr>
        <w:spacing w:line="360" w:lineRule="auto"/>
        <w:rPr>
          <w:sz w:val="24"/>
        </w:rPr>
      </w:pPr>
      <w:bookmarkStart w:id="0" w:name="_GoBack"/>
      <w:bookmarkEnd w:id="0"/>
      <w:r>
        <w:rPr>
          <w:b/>
          <w:sz w:val="24"/>
        </w:rPr>
        <w:t>Фамилия Имя Отчество:</w:t>
      </w:r>
      <w:r>
        <w:rPr>
          <w:sz w:val="24"/>
        </w:rPr>
        <w:t xml:space="preserve"> </w:t>
      </w:r>
    </w:p>
    <w:p w:rsidR="00BC3E8A" w:rsidRDefault="00BC3E8A">
      <w:pPr>
        <w:spacing w:line="360" w:lineRule="auto"/>
        <w:rPr>
          <w:sz w:val="24"/>
        </w:rPr>
      </w:pPr>
      <w:r>
        <w:rPr>
          <w:b/>
          <w:sz w:val="24"/>
        </w:rPr>
        <w:t>Возраст:</w:t>
      </w:r>
      <w:r>
        <w:rPr>
          <w:sz w:val="24"/>
        </w:rPr>
        <w:t xml:space="preserve"> 72 года.</w:t>
      </w:r>
    </w:p>
    <w:p w:rsidR="00BC3E8A" w:rsidRDefault="00BC3E8A">
      <w:pPr>
        <w:spacing w:line="360" w:lineRule="auto"/>
        <w:rPr>
          <w:sz w:val="24"/>
        </w:rPr>
      </w:pPr>
      <w:r>
        <w:rPr>
          <w:b/>
          <w:sz w:val="24"/>
        </w:rPr>
        <w:t xml:space="preserve">Пол: </w:t>
      </w:r>
      <w:r>
        <w:rPr>
          <w:sz w:val="24"/>
        </w:rPr>
        <w:t>женский</w:t>
      </w:r>
    </w:p>
    <w:p w:rsidR="00BC3E8A" w:rsidRDefault="00BC3E8A">
      <w:pPr>
        <w:spacing w:line="360" w:lineRule="auto"/>
        <w:rPr>
          <w:sz w:val="24"/>
        </w:rPr>
      </w:pPr>
      <w:r>
        <w:rPr>
          <w:b/>
          <w:sz w:val="24"/>
        </w:rPr>
        <w:t>Семейное положение:</w:t>
      </w:r>
      <w:r>
        <w:rPr>
          <w:sz w:val="24"/>
        </w:rPr>
        <w:t xml:space="preserve">  замужем</w:t>
      </w:r>
    </w:p>
    <w:p w:rsidR="00BC3E8A" w:rsidRPr="00AF362A" w:rsidRDefault="00BC3E8A">
      <w:pPr>
        <w:spacing w:line="360" w:lineRule="auto"/>
        <w:rPr>
          <w:sz w:val="24"/>
          <w:lang w:val="en-US"/>
        </w:rPr>
      </w:pPr>
      <w:r>
        <w:rPr>
          <w:b/>
          <w:sz w:val="24"/>
        </w:rPr>
        <w:t>Место работы:</w:t>
      </w:r>
      <w:r>
        <w:rPr>
          <w:sz w:val="24"/>
        </w:rPr>
        <w:t xml:space="preserve"> Пенсионер</w:t>
      </w:r>
    </w:p>
    <w:p w:rsidR="00BC3E8A" w:rsidRDefault="00BC3E8A">
      <w:pPr>
        <w:spacing w:line="360" w:lineRule="auto"/>
        <w:rPr>
          <w:sz w:val="24"/>
        </w:rPr>
      </w:pPr>
      <w:r>
        <w:rPr>
          <w:b/>
          <w:sz w:val="24"/>
        </w:rPr>
        <w:t>Домашний адрес:</w:t>
      </w:r>
      <w:r>
        <w:rPr>
          <w:sz w:val="24"/>
        </w:rPr>
        <w:t xml:space="preserve"> </w:t>
      </w:r>
    </w:p>
    <w:p w:rsidR="00BC3E8A" w:rsidRDefault="00BC3E8A">
      <w:pPr>
        <w:spacing w:line="360" w:lineRule="auto"/>
        <w:rPr>
          <w:sz w:val="24"/>
        </w:rPr>
      </w:pPr>
      <w:r>
        <w:rPr>
          <w:b/>
          <w:sz w:val="24"/>
        </w:rPr>
        <w:t>Дата поступления:</w:t>
      </w:r>
      <w:r>
        <w:rPr>
          <w:sz w:val="24"/>
        </w:rPr>
        <w:t xml:space="preserve"> </w:t>
      </w:r>
    </w:p>
    <w:p w:rsidR="00BC3E8A" w:rsidRDefault="00BC3E8A">
      <w:pPr>
        <w:spacing w:line="360" w:lineRule="auto"/>
        <w:jc w:val="both"/>
        <w:rPr>
          <w:rFonts w:ascii="Courier New" w:hAnsi="Courier New"/>
          <w:sz w:val="24"/>
        </w:rPr>
      </w:pPr>
      <w:r>
        <w:rPr>
          <w:b/>
          <w:sz w:val="24"/>
        </w:rPr>
        <w:t xml:space="preserve">Клинический диагноз: </w:t>
      </w:r>
      <w:r>
        <w:rPr>
          <w:rFonts w:ascii="Courier New" w:hAnsi="Courier New"/>
          <w:sz w:val="24"/>
        </w:rPr>
        <w:t xml:space="preserve"> </w:t>
      </w:r>
      <w:r>
        <w:rPr>
          <w:sz w:val="24"/>
        </w:rPr>
        <w:t>Сахарный диабет второго типа, средней тяжести, в стадии декомпе</w:t>
      </w:r>
      <w:r>
        <w:rPr>
          <w:sz w:val="24"/>
        </w:rPr>
        <w:t>н</w:t>
      </w:r>
      <w:r>
        <w:rPr>
          <w:sz w:val="24"/>
        </w:rPr>
        <w:t>сации.</w:t>
      </w:r>
    </w:p>
    <w:p w:rsidR="00BC3E8A" w:rsidRDefault="00BC3E8A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Жалобы при поступлении: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Больная при поступлении предъявила жалобы на беспокоящие ее жажду, сухость во рту, увел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чение количества выделяемой мочи, зуд кожи. Из общей симптоматики больная указывает на слабость, быструю утомляемость при выполнении домашней работы. Также были предъявлены жалобы на прогрессирующее снижение остроты зрения в последние 6 месяцев.</w:t>
      </w:r>
    </w:p>
    <w:p w:rsidR="00BC3E8A" w:rsidRDefault="00BC3E8A">
      <w:pPr>
        <w:pStyle w:val="10"/>
        <w:tabs>
          <w:tab w:val="left" w:pos="7230"/>
        </w:tabs>
        <w:spacing w:line="360" w:lineRule="auto"/>
        <w:rPr>
          <w:b/>
        </w:rPr>
      </w:pPr>
      <w:r>
        <w:rPr>
          <w:b/>
        </w:rPr>
        <w:t>Анамнез заболевания:</w:t>
      </w:r>
    </w:p>
    <w:p w:rsidR="00BC3E8A" w:rsidRDefault="00BC3E8A">
      <w:pPr>
        <w:pStyle w:val="10"/>
        <w:tabs>
          <w:tab w:val="left" w:pos="7230"/>
        </w:tabs>
        <w:spacing w:line="360" w:lineRule="auto"/>
      </w:pPr>
      <w:r>
        <w:t>Считает себя больной сахарным диабетом с 1990 года, когда находясь на стационарном лечении по поводу ДТЗ, и принимая по этому поводу мерказолил, анаприллин, дексаметазон стала о</w:t>
      </w:r>
      <w:r>
        <w:t>т</w:t>
      </w:r>
      <w:r>
        <w:t>мечать повышенную жажду, увеличение количества отделения мочи в сутки. Данные жалобы больная предъявила своему лечащему врачу и при последующем определении уровня глюкозы в крови было выявлено повышенные значения. Больной было проведено комплексное обслед</w:t>
      </w:r>
      <w:r>
        <w:t>о</w:t>
      </w:r>
      <w:r>
        <w:t>вание по данному поводу (подробностей больная сообщить не смогла) и поставлен диагноз с</w:t>
      </w:r>
      <w:r>
        <w:t>а</w:t>
      </w:r>
      <w:r>
        <w:t xml:space="preserve">харного диабета </w:t>
      </w:r>
      <w:r>
        <w:rPr>
          <w:lang w:val="en-US"/>
        </w:rPr>
        <w:t>II</w:t>
      </w:r>
      <w:r>
        <w:t xml:space="preserve"> типа. Дексаметазон был постепенно отменен, назначен и подобрана соотве</w:t>
      </w:r>
      <w:r>
        <w:t>т</w:t>
      </w:r>
      <w:r>
        <w:t xml:space="preserve">ствующая дозировка диабетола (80 мг/2 раза в сут.), при этом уровень гликемии находился в пределах 8-9 ммоль/л. </w:t>
      </w:r>
    </w:p>
    <w:p w:rsidR="00BC3E8A" w:rsidRDefault="00BC3E8A">
      <w:pPr>
        <w:pStyle w:val="10"/>
        <w:tabs>
          <w:tab w:val="left" w:pos="7230"/>
        </w:tabs>
        <w:spacing w:line="360" w:lineRule="auto"/>
      </w:pPr>
      <w:r>
        <w:t xml:space="preserve">На фоне приема диабетола у больной был достигнут нормальный уровень гликемии, и больная была выписана, при выписке были даны рекомендации по соблюдению диеты и постановке на учет у эндокринолога в районной поликлинике. </w:t>
      </w:r>
    </w:p>
    <w:p w:rsidR="00BC3E8A" w:rsidRDefault="00BC3E8A">
      <w:pPr>
        <w:pStyle w:val="10"/>
        <w:tabs>
          <w:tab w:val="left" w:pos="7230"/>
        </w:tabs>
        <w:spacing w:line="360" w:lineRule="auto"/>
      </w:pPr>
      <w:r>
        <w:t>До октября 2000 года больная никаких жалоб на состояние своего здоровья не предъявляла. 12 октября, находясь дома, больная почувствовала сердцебиение, возникли неприятные ощущения в области сердца. Была вызвана бригада скорой помощи, врач которой после снятия ЭКГ пост</w:t>
      </w:r>
      <w:r>
        <w:t>а</w:t>
      </w:r>
      <w:r>
        <w:t>вил диагноз: острый инфаркт миокарда. Больная была госпитализирована в 63 ГКБ, где данный диагноз был подтвержден и проведено соответствующее л</w:t>
      </w:r>
      <w:r>
        <w:t>е</w:t>
      </w:r>
      <w:r>
        <w:t xml:space="preserve">чение. </w:t>
      </w:r>
    </w:p>
    <w:p w:rsidR="00BC3E8A" w:rsidRDefault="00BC3E8A">
      <w:pPr>
        <w:pStyle w:val="10"/>
        <w:tabs>
          <w:tab w:val="left" w:pos="7230"/>
        </w:tabs>
        <w:spacing w:line="360" w:lineRule="auto"/>
      </w:pPr>
      <w:r>
        <w:t>С марта 2001 года больная стала отмечать повышенную утомляемость при выполнении пр</w:t>
      </w:r>
      <w:r>
        <w:t>и</w:t>
      </w:r>
      <w:r>
        <w:t xml:space="preserve">вычной домашней работы, стало беспокоить чувство жажды. Также за последние 6 месяцев больной было отмечено снижение остроты зрения. С данными жалобами больная обратилась в </w:t>
      </w:r>
      <w:r>
        <w:lastRenderedPageBreak/>
        <w:t>районную поликлинику, откуда была направлена на консультацию и коррекцию терапии по п</w:t>
      </w:r>
      <w:r>
        <w:t>о</w:t>
      </w:r>
      <w:r>
        <w:t>воду сахарного диабета второго типа в отделение эндокринологии ММА им. Сеченова.</w:t>
      </w:r>
    </w:p>
    <w:p w:rsidR="00BC3E8A" w:rsidRDefault="00BC3E8A">
      <w:pPr>
        <w:pStyle w:val="10"/>
        <w:tabs>
          <w:tab w:val="left" w:pos="7230"/>
        </w:tabs>
        <w:spacing w:line="360" w:lineRule="auto"/>
        <w:rPr>
          <w:b/>
        </w:rPr>
      </w:pPr>
      <w:r>
        <w:rPr>
          <w:b/>
        </w:rPr>
        <w:t>Анамнез жизни:</w:t>
      </w:r>
    </w:p>
    <w:p w:rsidR="00BC3E8A" w:rsidRDefault="00BC3E8A">
      <w:pPr>
        <w:spacing w:line="360" w:lineRule="auto"/>
        <w:jc w:val="both"/>
        <w:rPr>
          <w:sz w:val="24"/>
        </w:rPr>
      </w:pPr>
      <w:r>
        <w:rPr>
          <w:sz w:val="24"/>
        </w:rPr>
        <w:t>Родилась в срок в городе Москве. В семье была единственным ребенком, вскармливалась мол</w:t>
      </w:r>
      <w:r>
        <w:rPr>
          <w:sz w:val="24"/>
        </w:rPr>
        <w:t>о</w:t>
      </w:r>
      <w:r>
        <w:rPr>
          <w:sz w:val="24"/>
        </w:rPr>
        <w:t>ком матери. В физическом и умственном развитии от сверстников не отставала. Рахитом не б</w:t>
      </w:r>
      <w:r>
        <w:rPr>
          <w:sz w:val="24"/>
        </w:rPr>
        <w:t>о</w:t>
      </w:r>
      <w:r>
        <w:rPr>
          <w:sz w:val="24"/>
        </w:rPr>
        <w:t>лела. В школу пошла в возрасте 7 лет, учеба трудностей не вызывала. Окончила 10 классов, по окончании школы поступила во второй медицинский институт, по окончании которого работ</w:t>
      </w:r>
      <w:r>
        <w:rPr>
          <w:sz w:val="24"/>
        </w:rPr>
        <w:t>а</w:t>
      </w:r>
      <w:r>
        <w:rPr>
          <w:sz w:val="24"/>
        </w:rPr>
        <w:t xml:space="preserve">ла по профессии. </w:t>
      </w:r>
    </w:p>
    <w:p w:rsidR="00BC3E8A" w:rsidRDefault="00BC3E8A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Условия труда:</w:t>
      </w:r>
    </w:p>
    <w:p w:rsidR="00BC3E8A" w:rsidRDefault="00BC3E8A">
      <w:pPr>
        <w:spacing w:line="360" w:lineRule="auto"/>
        <w:jc w:val="both"/>
        <w:rPr>
          <w:sz w:val="24"/>
        </w:rPr>
      </w:pPr>
      <w:r>
        <w:rPr>
          <w:sz w:val="24"/>
        </w:rPr>
        <w:t>Работала врачом в кабинете функциональной диагностики, профессиональных вредностей не имела.</w:t>
      </w:r>
    </w:p>
    <w:p w:rsidR="00BC3E8A" w:rsidRPr="00F5611F" w:rsidRDefault="00BC3E8A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Гинекологический анамнез:</w:t>
      </w:r>
      <w:r w:rsidRPr="00F5611F">
        <w:rPr>
          <w:b/>
          <w:sz w:val="24"/>
        </w:rPr>
        <w:t xml:space="preserve"> </w:t>
      </w:r>
    </w:p>
    <w:p w:rsidR="00BC3E8A" w:rsidRDefault="00BC3E8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Менструации начались в 12 лет; продолжительность: 3 дня, в последующем 6 дней, обильные, безболезненные, регулярные. Менструации закончились в возрасте 52 лет. </w:t>
      </w:r>
    </w:p>
    <w:p w:rsidR="00BC3E8A" w:rsidRDefault="00BC3E8A">
      <w:pPr>
        <w:pStyle w:val="20"/>
        <w:spacing w:line="360" w:lineRule="auto"/>
        <w:rPr>
          <w:sz w:val="24"/>
        </w:rPr>
      </w:pPr>
      <w:r>
        <w:rPr>
          <w:sz w:val="24"/>
        </w:rPr>
        <w:t xml:space="preserve">Беременности: 1; роды: 1. Климактерический период протекал без особенностей. В настоящее время есть здоровая дочь (33 года).   </w:t>
      </w:r>
    </w:p>
    <w:p w:rsidR="00BC3E8A" w:rsidRDefault="00BC3E8A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Семейный анамнез: </w:t>
      </w:r>
    </w:p>
    <w:p w:rsidR="00BC3E8A" w:rsidRDefault="00BC3E8A">
      <w:pPr>
        <w:spacing w:line="360" w:lineRule="auto"/>
        <w:jc w:val="both"/>
        <w:rPr>
          <w:sz w:val="24"/>
        </w:rPr>
      </w:pPr>
      <w:r>
        <w:rPr>
          <w:sz w:val="24"/>
        </w:rPr>
        <w:t>Замужем. Живет в отдельной квартире вместе с мужем. Питание регулярное (3-4 раза в день), домашнее, ограничивает себя в потреблении жирного, легко усвояемых углеводов с 1990 года. Сон 8-9 часов в с</w:t>
      </w:r>
      <w:r>
        <w:rPr>
          <w:sz w:val="24"/>
        </w:rPr>
        <w:t>у</w:t>
      </w:r>
      <w:r>
        <w:rPr>
          <w:sz w:val="24"/>
        </w:rPr>
        <w:t xml:space="preserve">тки. </w:t>
      </w:r>
    </w:p>
    <w:p w:rsidR="00BC3E8A" w:rsidRDefault="00BC3E8A">
      <w:pPr>
        <w:pStyle w:val="20"/>
        <w:spacing w:line="360" w:lineRule="auto"/>
        <w:rPr>
          <w:sz w:val="24"/>
        </w:rPr>
      </w:pPr>
      <w:r>
        <w:rPr>
          <w:sz w:val="24"/>
        </w:rPr>
        <w:t xml:space="preserve">Не курит. Употребление алкоголя до 1990 года – редко, потом полный отказ. </w:t>
      </w:r>
    </w:p>
    <w:p w:rsidR="00BC3E8A" w:rsidRDefault="00BC3E8A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Перенесенные (сопутствующие) заболевания: </w:t>
      </w:r>
    </w:p>
    <w:p w:rsidR="00BC3E8A" w:rsidRDefault="00BC3E8A">
      <w:pPr>
        <w:pStyle w:val="10"/>
        <w:spacing w:line="360" w:lineRule="auto"/>
      </w:pPr>
      <w:r>
        <w:t>В детстве больная перенесла коклюш, ветряную оспу, краснуху. В последующем болела  гри</w:t>
      </w:r>
      <w:r>
        <w:t>п</w:t>
      </w:r>
      <w:r>
        <w:t>пом в осенне-зимний период 1 раз в год. В 1990 году прошла курс терапии по поводу ДТЗ. В октябре 2000 года острый инфаркт миокарда.</w:t>
      </w:r>
    </w:p>
    <w:p w:rsidR="00BC3E8A" w:rsidRDefault="00BC3E8A">
      <w:pPr>
        <w:spacing w:line="360" w:lineRule="auto"/>
        <w:rPr>
          <w:b/>
          <w:sz w:val="24"/>
        </w:rPr>
      </w:pPr>
      <w:r>
        <w:rPr>
          <w:b/>
          <w:sz w:val="24"/>
        </w:rPr>
        <w:t>Аллергологический анамнез:</w:t>
      </w:r>
    </w:p>
    <w:p w:rsidR="00BC3E8A" w:rsidRDefault="00BC3E8A">
      <w:pPr>
        <w:spacing w:line="360" w:lineRule="auto"/>
        <w:rPr>
          <w:sz w:val="24"/>
        </w:rPr>
      </w:pPr>
      <w:r>
        <w:rPr>
          <w:sz w:val="24"/>
        </w:rPr>
        <w:t>Кожных аллергических сыпей, отека Квинке, крапивницы, сенной лихорадки, удушья, анаф</w:t>
      </w:r>
      <w:r>
        <w:rPr>
          <w:sz w:val="24"/>
        </w:rPr>
        <w:t>и</w:t>
      </w:r>
      <w:r>
        <w:rPr>
          <w:sz w:val="24"/>
        </w:rPr>
        <w:t>лактического шока при соприкосновении с различными пищевыми и лекарственными вещес</w:t>
      </w:r>
      <w:r>
        <w:rPr>
          <w:sz w:val="24"/>
        </w:rPr>
        <w:t>т</w:t>
      </w:r>
      <w:r>
        <w:rPr>
          <w:sz w:val="24"/>
        </w:rPr>
        <w:t>вами не отмечалось.</w:t>
      </w:r>
    </w:p>
    <w:p w:rsidR="00BC3E8A" w:rsidRDefault="00BC3E8A">
      <w:pPr>
        <w:spacing w:line="360" w:lineRule="auto"/>
        <w:rPr>
          <w:b/>
          <w:sz w:val="24"/>
        </w:rPr>
      </w:pPr>
      <w:r>
        <w:rPr>
          <w:b/>
          <w:sz w:val="24"/>
        </w:rPr>
        <w:t>Наследственность:</w:t>
      </w:r>
    </w:p>
    <w:p w:rsidR="00BC3E8A" w:rsidRDefault="00BC3E8A">
      <w:pPr>
        <w:pStyle w:val="4"/>
      </w:pPr>
      <w:r>
        <w:t>Не отягощена.</w:t>
      </w:r>
    </w:p>
    <w:p w:rsidR="00BC3E8A" w:rsidRDefault="00BC3E8A">
      <w:pPr>
        <w:spacing w:line="360" w:lineRule="auto"/>
        <w:rPr>
          <w:b/>
          <w:sz w:val="24"/>
        </w:rPr>
      </w:pPr>
    </w:p>
    <w:p w:rsidR="00BC3E8A" w:rsidRDefault="00BC3E8A">
      <w:pPr>
        <w:spacing w:line="360" w:lineRule="auto"/>
        <w:rPr>
          <w:b/>
          <w:sz w:val="24"/>
        </w:rPr>
      </w:pPr>
    </w:p>
    <w:p w:rsidR="00F5611F" w:rsidRDefault="00F5611F">
      <w:pPr>
        <w:spacing w:line="360" w:lineRule="auto"/>
        <w:rPr>
          <w:b/>
          <w:sz w:val="24"/>
        </w:rPr>
      </w:pPr>
    </w:p>
    <w:p w:rsidR="00BC3E8A" w:rsidRDefault="00BC3E8A">
      <w:pPr>
        <w:spacing w:line="360" w:lineRule="auto"/>
        <w:rPr>
          <w:b/>
          <w:sz w:val="24"/>
        </w:rPr>
      </w:pPr>
    </w:p>
    <w:p w:rsidR="00BC3E8A" w:rsidRDefault="00BC3E8A">
      <w:pPr>
        <w:spacing w:line="360" w:lineRule="auto"/>
        <w:rPr>
          <w:b/>
          <w:sz w:val="24"/>
        </w:rPr>
      </w:pPr>
    </w:p>
    <w:p w:rsidR="00BC3E8A" w:rsidRDefault="00BC3E8A">
      <w:pPr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Настоящее состояние больной:</w:t>
      </w:r>
    </w:p>
    <w:p w:rsidR="00BC3E8A" w:rsidRDefault="00BC3E8A">
      <w:pPr>
        <w:spacing w:line="360" w:lineRule="auto"/>
        <w:rPr>
          <w:sz w:val="24"/>
        </w:rPr>
      </w:pPr>
      <w:r>
        <w:rPr>
          <w:sz w:val="24"/>
        </w:rPr>
        <w:t>-   общее состояние:</w:t>
      </w:r>
      <w:r>
        <w:rPr>
          <w:b/>
          <w:sz w:val="24"/>
        </w:rPr>
        <w:t xml:space="preserve"> </w:t>
      </w:r>
      <w:r>
        <w:rPr>
          <w:sz w:val="24"/>
        </w:rPr>
        <w:t>удовлетворительное</w:t>
      </w:r>
    </w:p>
    <w:p w:rsidR="00BC3E8A" w:rsidRDefault="00BC3E8A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сознание: ясное</w:t>
      </w:r>
    </w:p>
    <w:p w:rsidR="00BC3E8A" w:rsidRDefault="00BC3E8A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sz w:val="24"/>
        </w:rPr>
        <w:t>положение: активное</w:t>
      </w:r>
    </w:p>
    <w:p w:rsidR="00BC3E8A" w:rsidRDefault="00BC3E8A">
      <w:pPr>
        <w:numPr>
          <w:ilvl w:val="0"/>
          <w:numId w:val="1"/>
        </w:numPr>
        <w:spacing w:line="360" w:lineRule="auto"/>
        <w:rPr>
          <w:b/>
          <w:sz w:val="24"/>
        </w:rPr>
      </w:pPr>
      <w:r>
        <w:rPr>
          <w:sz w:val="24"/>
        </w:rPr>
        <w:t>выражение лица: спокойное</w:t>
      </w:r>
    </w:p>
    <w:p w:rsidR="00BC3E8A" w:rsidRDefault="00BC3E8A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нормостенического телосложения.</w:t>
      </w:r>
    </w:p>
    <w:p w:rsidR="00BC3E8A" w:rsidRDefault="00BC3E8A">
      <w:pPr>
        <w:spacing w:line="360" w:lineRule="auto"/>
        <w:rPr>
          <w:sz w:val="24"/>
        </w:rPr>
      </w:pPr>
      <w:r>
        <w:rPr>
          <w:sz w:val="24"/>
        </w:rPr>
        <w:t xml:space="preserve">Рост </w:t>
      </w:r>
      <w:smartTag w:uri="urn:schemas-microsoft-com:office:smarttags" w:element="metricconverter">
        <w:smartTagPr>
          <w:attr w:name="ProductID" w:val="162 см"/>
        </w:smartTagPr>
        <w:r>
          <w:rPr>
            <w:sz w:val="24"/>
          </w:rPr>
          <w:t>162 см</w:t>
        </w:r>
      </w:smartTag>
      <w:r>
        <w:rPr>
          <w:sz w:val="24"/>
        </w:rPr>
        <w:t xml:space="preserve">., вес </w:t>
      </w:r>
      <w:smartTag w:uri="urn:schemas-microsoft-com:office:smarttags" w:element="metricconverter">
        <w:smartTagPr>
          <w:attr w:name="ProductID" w:val="70 кг"/>
        </w:smartTagPr>
        <w:r>
          <w:rPr>
            <w:sz w:val="24"/>
          </w:rPr>
          <w:t>70 кг</w:t>
        </w:r>
      </w:smartTag>
      <w:r>
        <w:rPr>
          <w:sz w:val="24"/>
        </w:rPr>
        <w:t>.</w:t>
      </w:r>
    </w:p>
    <w:p w:rsidR="00BC3E8A" w:rsidRDefault="00BC3E8A">
      <w:pPr>
        <w:spacing w:line="360" w:lineRule="auto"/>
        <w:rPr>
          <w:sz w:val="24"/>
        </w:rPr>
      </w:pPr>
      <w:r>
        <w:rPr>
          <w:b/>
          <w:sz w:val="24"/>
        </w:rPr>
        <w:t>Кожные покровы:</w:t>
      </w:r>
      <w:r>
        <w:rPr>
          <w:sz w:val="24"/>
        </w:rPr>
        <w:t xml:space="preserve"> </w:t>
      </w:r>
    </w:p>
    <w:p w:rsidR="00BC3E8A" w:rsidRDefault="00BC3E8A">
      <w:pPr>
        <w:spacing w:line="360" w:lineRule="auto"/>
        <w:rPr>
          <w:b/>
          <w:sz w:val="24"/>
        </w:rPr>
      </w:pPr>
      <w:r>
        <w:rPr>
          <w:sz w:val="24"/>
        </w:rPr>
        <w:t>На момент осмотра: кожа и видимые слизистые бледно-розовой окраски. Влажность и эласти</w:t>
      </w:r>
      <w:r>
        <w:rPr>
          <w:sz w:val="24"/>
        </w:rPr>
        <w:t>ч</w:t>
      </w:r>
      <w:r>
        <w:rPr>
          <w:sz w:val="24"/>
        </w:rPr>
        <w:t xml:space="preserve">ность кожных покровов нормальная. Волосяной покров развит по женскому типу. </w:t>
      </w:r>
      <w:r>
        <w:rPr>
          <w:b/>
          <w:sz w:val="24"/>
        </w:rPr>
        <w:t>Подкожная клетчатка:</w:t>
      </w:r>
    </w:p>
    <w:p w:rsidR="00BC3E8A" w:rsidRDefault="00BC3E8A">
      <w:pPr>
        <w:spacing w:line="360" w:lineRule="auto"/>
        <w:rPr>
          <w:sz w:val="24"/>
        </w:rPr>
      </w:pPr>
      <w:r>
        <w:rPr>
          <w:sz w:val="24"/>
        </w:rPr>
        <w:t xml:space="preserve">Развита умеренно и равномерно. Толщина складки на передней брюшной стенке </w:t>
      </w:r>
      <w:smartTag w:uri="urn:schemas-microsoft-com:office:smarttags" w:element="metricconverter">
        <w:smartTagPr>
          <w:attr w:name="ProductID" w:val="4 см"/>
        </w:smartTagPr>
        <w:r>
          <w:rPr>
            <w:sz w:val="24"/>
          </w:rPr>
          <w:t>4 см</w:t>
        </w:r>
      </w:smartTag>
      <w:r>
        <w:rPr>
          <w:sz w:val="24"/>
        </w:rPr>
        <w:t>. Подко</w:t>
      </w:r>
      <w:r>
        <w:rPr>
          <w:sz w:val="24"/>
        </w:rPr>
        <w:t>ж</w:t>
      </w:r>
      <w:r>
        <w:rPr>
          <w:sz w:val="24"/>
        </w:rPr>
        <w:t>но-жировой слой развит равномерно.</w:t>
      </w:r>
    </w:p>
    <w:p w:rsidR="00BC3E8A" w:rsidRDefault="00BC3E8A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Лимфатическая система: </w:t>
      </w:r>
    </w:p>
    <w:p w:rsidR="00BC3E8A" w:rsidRDefault="00BC3E8A">
      <w:pPr>
        <w:pStyle w:val="a5"/>
        <w:spacing w:line="360" w:lineRule="auto"/>
        <w:rPr>
          <w:sz w:val="24"/>
        </w:rPr>
      </w:pPr>
      <w:r>
        <w:rPr>
          <w:sz w:val="24"/>
        </w:rPr>
        <w:t>Затылочные, околоушные, подчелюстные, шейные, надключичные, подмышечные, паховые лимфатические узлы не пальпируются. Болезненности в области пальпации не наблюдается. При осмотре гиперемии кожных покровов в областях расположения лимфатических узлов не отмечается.</w:t>
      </w:r>
    </w:p>
    <w:p w:rsidR="00BC3E8A" w:rsidRDefault="00BC3E8A">
      <w:pPr>
        <w:spacing w:line="360" w:lineRule="auto"/>
        <w:rPr>
          <w:sz w:val="24"/>
        </w:rPr>
      </w:pPr>
      <w:r>
        <w:rPr>
          <w:b/>
          <w:sz w:val="24"/>
        </w:rPr>
        <w:t>Мышечная система:</w:t>
      </w:r>
      <w:r>
        <w:rPr>
          <w:sz w:val="24"/>
        </w:rPr>
        <w:t xml:space="preserve"> </w:t>
      </w:r>
    </w:p>
    <w:p w:rsidR="00BC3E8A" w:rsidRDefault="00BC3E8A">
      <w:pPr>
        <w:spacing w:line="360" w:lineRule="auto"/>
        <w:rPr>
          <w:sz w:val="24"/>
        </w:rPr>
      </w:pPr>
      <w:r>
        <w:rPr>
          <w:sz w:val="24"/>
        </w:rPr>
        <w:t>Развита умеренно, симметрична, безболезненна при пальпации, нормального тонуса. Местных г</w:t>
      </w:r>
      <w:r>
        <w:rPr>
          <w:sz w:val="24"/>
        </w:rPr>
        <w:t>и</w:t>
      </w:r>
      <w:r>
        <w:rPr>
          <w:sz w:val="24"/>
        </w:rPr>
        <w:t>пертрофий и атрофий мышц не выявлено.</w:t>
      </w:r>
    </w:p>
    <w:p w:rsidR="00BC3E8A" w:rsidRDefault="00BC3E8A">
      <w:pPr>
        <w:spacing w:line="360" w:lineRule="auto"/>
        <w:rPr>
          <w:b/>
          <w:sz w:val="24"/>
        </w:rPr>
      </w:pPr>
      <w:r>
        <w:rPr>
          <w:b/>
          <w:sz w:val="24"/>
        </w:rPr>
        <w:t>Костная система и суставы:</w:t>
      </w:r>
    </w:p>
    <w:p w:rsidR="00BC3E8A" w:rsidRDefault="00BC3E8A">
      <w:pPr>
        <w:spacing w:line="360" w:lineRule="auto"/>
        <w:rPr>
          <w:sz w:val="24"/>
        </w:rPr>
      </w:pPr>
      <w:r>
        <w:rPr>
          <w:sz w:val="24"/>
        </w:rPr>
        <w:t>Патологических изменений не выявлено.</w:t>
      </w:r>
    </w:p>
    <w:p w:rsidR="00BC3E8A" w:rsidRDefault="00BC3E8A">
      <w:pPr>
        <w:spacing w:line="360" w:lineRule="auto"/>
        <w:rPr>
          <w:sz w:val="24"/>
        </w:rPr>
      </w:pPr>
      <w:r>
        <w:rPr>
          <w:sz w:val="24"/>
        </w:rPr>
        <w:t xml:space="preserve">Движения в конечностях свободные, безболезненные. </w:t>
      </w:r>
    </w:p>
    <w:p w:rsidR="00BC3E8A" w:rsidRDefault="00BC3E8A">
      <w:pPr>
        <w:spacing w:line="360" w:lineRule="auto"/>
        <w:rPr>
          <w:sz w:val="24"/>
        </w:rPr>
      </w:pPr>
      <w:r>
        <w:rPr>
          <w:sz w:val="24"/>
        </w:rPr>
        <w:t>Суставы по форме не измен</w:t>
      </w:r>
      <w:r>
        <w:rPr>
          <w:sz w:val="24"/>
        </w:rPr>
        <w:t>е</w:t>
      </w:r>
      <w:r>
        <w:rPr>
          <w:sz w:val="24"/>
        </w:rPr>
        <w:t xml:space="preserve">ны. </w:t>
      </w:r>
    </w:p>
    <w:p w:rsidR="00BC3E8A" w:rsidRDefault="00BC3E8A">
      <w:pPr>
        <w:spacing w:line="360" w:lineRule="auto"/>
        <w:rPr>
          <w:b/>
          <w:sz w:val="24"/>
        </w:rPr>
      </w:pPr>
      <w:r>
        <w:rPr>
          <w:b/>
          <w:sz w:val="24"/>
        </w:rPr>
        <w:t>Сердечно-сосудистая система, органы дыхания, желудочно-кишечного тракта:</w:t>
      </w:r>
    </w:p>
    <w:p w:rsidR="00BC3E8A" w:rsidRDefault="00BC3E8A">
      <w:pPr>
        <w:pStyle w:val="30"/>
      </w:pPr>
      <w:r>
        <w:t>На момент осмотра жалоб, указывающих на патологию данных систем, больной не предъявл</w:t>
      </w:r>
      <w:r>
        <w:t>я</w:t>
      </w:r>
      <w:r>
        <w:t>лось.</w:t>
      </w:r>
    </w:p>
    <w:p w:rsidR="00BC3E8A" w:rsidRPr="00FC6EEF" w:rsidRDefault="00BC3E8A" w:rsidP="00FC6EEF">
      <w:r w:rsidRPr="00FC6EEF">
        <w:rPr>
          <w:sz w:val="24"/>
          <w:szCs w:val="24"/>
        </w:rPr>
        <w:t>СИСТЕМА МОЧЕОТДЕЛЕНИЯ</w:t>
      </w:r>
      <w:r w:rsidRPr="00FC6EEF">
        <w:t>:</w:t>
      </w:r>
    </w:p>
    <w:p w:rsidR="00BC3E8A" w:rsidRDefault="00BC3E8A">
      <w:pPr>
        <w:spacing w:line="360" w:lineRule="auto"/>
        <w:rPr>
          <w:sz w:val="24"/>
        </w:rPr>
      </w:pPr>
      <w:r>
        <w:rPr>
          <w:sz w:val="24"/>
        </w:rPr>
        <w:t>На момент осмотра жалоб, указывающих на патологию органов мочеотделения, не предъявл</w:t>
      </w:r>
      <w:r>
        <w:rPr>
          <w:sz w:val="24"/>
        </w:rPr>
        <w:t>я</w:t>
      </w:r>
      <w:r>
        <w:rPr>
          <w:sz w:val="24"/>
        </w:rPr>
        <w:t>лось.</w:t>
      </w:r>
    </w:p>
    <w:p w:rsidR="00BC3E8A" w:rsidRDefault="00BC3E8A">
      <w:pPr>
        <w:spacing w:line="360" w:lineRule="auto"/>
        <w:rPr>
          <w:b/>
          <w:sz w:val="24"/>
        </w:rPr>
      </w:pPr>
      <w:r>
        <w:rPr>
          <w:sz w:val="24"/>
        </w:rPr>
        <w:t>Гиперемии и припухлости в области почек не обнаруживается.</w:t>
      </w:r>
    </w:p>
    <w:p w:rsidR="00BC3E8A" w:rsidRDefault="00BC3E8A">
      <w:pPr>
        <w:pStyle w:val="30"/>
      </w:pPr>
      <w:r>
        <w:t>Симптом Пастернацкого отрицательный с обеих сторон.</w:t>
      </w:r>
    </w:p>
    <w:p w:rsidR="00BC3E8A" w:rsidRDefault="00BC3E8A">
      <w:pPr>
        <w:spacing w:line="360" w:lineRule="auto"/>
        <w:jc w:val="both"/>
        <w:rPr>
          <w:b/>
        </w:rPr>
      </w:pPr>
    </w:p>
    <w:p w:rsidR="00BC3E8A" w:rsidRDefault="00BC3E8A">
      <w:pPr>
        <w:spacing w:line="360" w:lineRule="auto"/>
        <w:jc w:val="both"/>
        <w:rPr>
          <w:b/>
          <w:sz w:val="24"/>
        </w:rPr>
      </w:pPr>
    </w:p>
    <w:p w:rsidR="00BC3E8A" w:rsidRDefault="00BC3E8A">
      <w:pPr>
        <w:spacing w:line="360" w:lineRule="auto"/>
        <w:jc w:val="both"/>
        <w:rPr>
          <w:b/>
          <w:sz w:val="24"/>
        </w:rPr>
      </w:pPr>
    </w:p>
    <w:p w:rsidR="00BC3E8A" w:rsidRDefault="00BC3E8A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lastRenderedPageBreak/>
        <w:t>НЕРВНО-ПСИХИЧЕСКАЯ СФЕРА:</w:t>
      </w:r>
    </w:p>
    <w:p w:rsidR="00BC3E8A" w:rsidRDefault="00BC3E8A">
      <w:pPr>
        <w:spacing w:line="360" w:lineRule="auto"/>
        <w:jc w:val="both"/>
        <w:rPr>
          <w:sz w:val="24"/>
        </w:rPr>
      </w:pPr>
      <w:r>
        <w:rPr>
          <w:sz w:val="24"/>
        </w:rPr>
        <w:t>Головные боли, головокружения не беспокоят. Обмороков не отмечалось. Больная правильно ориентирована в окружающем пространстве и времени. Легко идет на контакт, восприятие и внимание не нарушено. Способна сосредотачиваться на одном деле. Память сохранена. Инте</w:t>
      </w:r>
      <w:r>
        <w:rPr>
          <w:sz w:val="24"/>
        </w:rPr>
        <w:t>л</w:t>
      </w:r>
      <w:r>
        <w:rPr>
          <w:sz w:val="24"/>
        </w:rPr>
        <w:t xml:space="preserve">лект высокий. Мышление не нарушено. Настроение ровное. Поведение адекватно окружающей обстановке. </w:t>
      </w:r>
    </w:p>
    <w:p w:rsidR="00BC3E8A" w:rsidRDefault="00BC3E8A">
      <w:pPr>
        <w:spacing w:line="360" w:lineRule="auto"/>
        <w:jc w:val="both"/>
        <w:rPr>
          <w:sz w:val="24"/>
        </w:rPr>
      </w:pPr>
      <w:r>
        <w:rPr>
          <w:sz w:val="24"/>
        </w:rPr>
        <w:t>Сон глубокий, ровный, продолжительностью 8-9 часов. Засыпает относительно быстро. Сам</w:t>
      </w:r>
      <w:r>
        <w:rPr>
          <w:sz w:val="24"/>
        </w:rPr>
        <w:t>о</w:t>
      </w:r>
      <w:r>
        <w:rPr>
          <w:sz w:val="24"/>
        </w:rPr>
        <w:t>чувствие после пробуждения хорошее</w:t>
      </w:r>
    </w:p>
    <w:p w:rsidR="00BC3E8A" w:rsidRDefault="00BC3E8A">
      <w:pPr>
        <w:spacing w:line="360" w:lineRule="auto"/>
        <w:jc w:val="both"/>
        <w:rPr>
          <w:sz w:val="24"/>
        </w:rPr>
      </w:pPr>
      <w:r>
        <w:rPr>
          <w:sz w:val="24"/>
        </w:rPr>
        <w:t>Рефлексы Бабинского, Россолимо отрицательные. В двигательной сфере патологических изм</w:t>
      </w:r>
      <w:r>
        <w:rPr>
          <w:sz w:val="24"/>
        </w:rPr>
        <w:t>е</w:t>
      </w:r>
      <w:r>
        <w:rPr>
          <w:sz w:val="24"/>
        </w:rPr>
        <w:t>нений не выявлено.</w:t>
      </w:r>
    </w:p>
    <w:p w:rsidR="00BC3E8A" w:rsidRDefault="00BC3E8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ПЛАН ОБСЛЕДОВАНИЯ:</w:t>
      </w:r>
    </w:p>
    <w:p w:rsidR="00BC3E8A" w:rsidRDefault="00BC3E8A">
      <w:pPr>
        <w:pStyle w:val="a6"/>
        <w:numPr>
          <w:ilvl w:val="0"/>
          <w:numId w:val="2"/>
        </w:numPr>
        <w:spacing w:line="360" w:lineRule="auto"/>
        <w:ind w:left="0"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Клинический анализ крови. Назначаем для выявления признаков хронического воспаления (повышение СОЭ, сдвиг лейкоцитарной формулы влево), повлекшего за собой декомпенсацию СД.</w:t>
      </w:r>
    </w:p>
    <w:p w:rsidR="00BC3E8A" w:rsidRDefault="00BC3E8A">
      <w:pPr>
        <w:pStyle w:val="a6"/>
        <w:numPr>
          <w:ilvl w:val="0"/>
          <w:numId w:val="2"/>
        </w:numPr>
        <w:spacing w:line="360" w:lineRule="auto"/>
        <w:ind w:left="0"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Биохимический анализ крови. В нем нас интересует уровень гликемии, гликозилированного гемоглобина, а также липидный профиль. Уровень азота мочевины, как один из показателей диабетической нефропатии.</w:t>
      </w:r>
    </w:p>
    <w:p w:rsidR="00BC3E8A" w:rsidRDefault="00BC3E8A">
      <w:pPr>
        <w:pStyle w:val="a6"/>
        <w:numPr>
          <w:ilvl w:val="0"/>
          <w:numId w:val="2"/>
        </w:numPr>
        <w:spacing w:line="360" w:lineRule="auto"/>
        <w:ind w:left="0"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анализ мочи. Назначаем для выявления признаков диабетической нефропатии, Во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можное появление глюкозы можно будет расценивать и как  серьезную декомпенсацию СД, и как проявление диабетической нефропатии.</w:t>
      </w:r>
    </w:p>
    <w:p w:rsidR="00BC3E8A" w:rsidRDefault="00BC3E8A">
      <w:pPr>
        <w:pStyle w:val="a6"/>
        <w:numPr>
          <w:ilvl w:val="0"/>
          <w:numId w:val="2"/>
        </w:numPr>
        <w:spacing w:line="360" w:lineRule="auto"/>
        <w:ind w:left="0" w:right="-1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Консультации невропатолога, окулиста, терапевта для  посистемного выявления микро-(макро-)ангиопатий.</w:t>
      </w:r>
    </w:p>
    <w:p w:rsidR="00BC3E8A" w:rsidRDefault="00BC3E8A">
      <w:pPr>
        <w:pStyle w:val="a6"/>
        <w:numPr>
          <w:ilvl w:val="0"/>
          <w:numId w:val="0"/>
        </w:numPr>
        <w:spacing w:line="360" w:lineRule="auto"/>
        <w:ind w:left="567" w:right="-1" w:hanging="283"/>
        <w:jc w:val="both"/>
        <w:rPr>
          <w:rFonts w:ascii="Times New Roman" w:hAnsi="Times New Roman"/>
        </w:rPr>
      </w:pPr>
    </w:p>
    <w:p w:rsidR="00BC3E8A" w:rsidRDefault="00BC3E8A">
      <w:pPr>
        <w:pStyle w:val="a6"/>
        <w:numPr>
          <w:ilvl w:val="0"/>
          <w:numId w:val="0"/>
        </w:numPr>
        <w:spacing w:line="360" w:lineRule="auto"/>
        <w:ind w:left="567" w:right="-1" w:hanging="283"/>
        <w:jc w:val="both"/>
        <w:rPr>
          <w:rFonts w:ascii="Times New Roman" w:hAnsi="Times New Roman"/>
        </w:rPr>
      </w:pPr>
    </w:p>
    <w:p w:rsidR="00BC3E8A" w:rsidRDefault="00BC3E8A">
      <w:pPr>
        <w:pStyle w:val="a6"/>
        <w:numPr>
          <w:ilvl w:val="0"/>
          <w:numId w:val="0"/>
        </w:numPr>
        <w:spacing w:line="360" w:lineRule="auto"/>
        <w:ind w:left="567" w:right="-1" w:hanging="283"/>
        <w:jc w:val="both"/>
        <w:rPr>
          <w:rFonts w:ascii="Times New Roman" w:hAnsi="Times New Roman"/>
        </w:rPr>
      </w:pPr>
    </w:p>
    <w:p w:rsidR="00BC3E8A" w:rsidRDefault="00BC3E8A">
      <w:pPr>
        <w:pStyle w:val="a6"/>
        <w:numPr>
          <w:ilvl w:val="0"/>
          <w:numId w:val="0"/>
        </w:numPr>
        <w:spacing w:line="360" w:lineRule="auto"/>
        <w:ind w:left="567" w:right="-1" w:hanging="283"/>
        <w:jc w:val="both"/>
        <w:rPr>
          <w:rFonts w:ascii="Times New Roman" w:hAnsi="Times New Roman"/>
        </w:rPr>
      </w:pPr>
    </w:p>
    <w:p w:rsidR="00BC3E8A" w:rsidRDefault="00BC3E8A">
      <w:pPr>
        <w:pStyle w:val="a6"/>
        <w:numPr>
          <w:ilvl w:val="0"/>
          <w:numId w:val="0"/>
        </w:numPr>
        <w:spacing w:line="360" w:lineRule="auto"/>
        <w:ind w:left="567" w:right="-1" w:hanging="283"/>
        <w:jc w:val="both"/>
        <w:rPr>
          <w:rFonts w:ascii="Times New Roman" w:hAnsi="Times New Roman"/>
        </w:rPr>
      </w:pPr>
    </w:p>
    <w:p w:rsidR="00BC3E8A" w:rsidRDefault="00BC3E8A">
      <w:pPr>
        <w:pStyle w:val="a6"/>
        <w:numPr>
          <w:ilvl w:val="0"/>
          <w:numId w:val="0"/>
        </w:numPr>
        <w:spacing w:line="360" w:lineRule="auto"/>
        <w:ind w:left="567" w:right="-1" w:hanging="283"/>
        <w:jc w:val="both"/>
        <w:rPr>
          <w:rFonts w:ascii="Times New Roman" w:hAnsi="Times New Roman"/>
        </w:rPr>
      </w:pPr>
    </w:p>
    <w:p w:rsidR="00BC3E8A" w:rsidRDefault="00BC3E8A">
      <w:pPr>
        <w:pStyle w:val="a6"/>
        <w:numPr>
          <w:ilvl w:val="0"/>
          <w:numId w:val="0"/>
        </w:numPr>
        <w:spacing w:line="360" w:lineRule="auto"/>
        <w:ind w:left="567" w:right="-1" w:hanging="283"/>
        <w:jc w:val="both"/>
        <w:rPr>
          <w:rFonts w:ascii="Times New Roman" w:hAnsi="Times New Roman"/>
        </w:rPr>
      </w:pPr>
    </w:p>
    <w:p w:rsidR="00BC3E8A" w:rsidRDefault="00BC3E8A">
      <w:pPr>
        <w:pStyle w:val="a6"/>
        <w:numPr>
          <w:ilvl w:val="0"/>
          <w:numId w:val="0"/>
        </w:numPr>
        <w:spacing w:line="360" w:lineRule="auto"/>
        <w:ind w:left="567" w:right="-1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C3E8A" w:rsidRDefault="00BC3E8A">
      <w:pPr>
        <w:spacing w:line="360" w:lineRule="auto"/>
        <w:rPr>
          <w:sz w:val="24"/>
        </w:rPr>
      </w:pPr>
    </w:p>
    <w:p w:rsidR="00BC3E8A" w:rsidRDefault="00BC3E8A">
      <w:pPr>
        <w:pStyle w:val="5"/>
        <w:rPr>
          <w:u w:val="single"/>
        </w:rPr>
      </w:pPr>
      <w:r>
        <w:rPr>
          <w:u w:val="single"/>
        </w:rPr>
        <w:lastRenderedPageBreak/>
        <w:t>Данные лабораторно-инструментальных исследований</w:t>
      </w:r>
    </w:p>
    <w:p w:rsidR="00BC3E8A" w:rsidRDefault="00BC3E8A">
      <w:pPr>
        <w:jc w:val="center"/>
        <w:rPr>
          <w:b/>
          <w:sz w:val="24"/>
        </w:rPr>
      </w:pPr>
      <w:r>
        <w:rPr>
          <w:b/>
          <w:sz w:val="24"/>
        </w:rPr>
        <w:t>Общий анализ крови:</w:t>
      </w:r>
    </w:p>
    <w:p w:rsidR="00BC3E8A" w:rsidRDefault="00BC3E8A">
      <w:pPr>
        <w:spacing w:line="360" w:lineRule="auto"/>
        <w:jc w:val="both"/>
        <w:rPr>
          <w:sz w:val="24"/>
        </w:rPr>
      </w:pPr>
    </w:p>
    <w:tbl>
      <w:tblPr>
        <w:tblW w:w="0" w:type="auto"/>
        <w:tblInd w:w="16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277"/>
        <w:gridCol w:w="715"/>
        <w:gridCol w:w="993"/>
        <w:gridCol w:w="717"/>
        <w:gridCol w:w="1176"/>
        <w:gridCol w:w="1368"/>
      </w:tblGrid>
      <w:tr w:rsidR="00BC3E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0" w:type="dxa"/>
            <w:gridSpan w:val="3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rPr>
                <w:rFonts w:ascii="Tms Rmn" w:hAnsi="Tms Rmn"/>
                <w:sz w:val="24"/>
              </w:rPr>
            </w:pPr>
          </w:p>
        </w:tc>
        <w:tc>
          <w:tcPr>
            <w:tcW w:w="715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Результ.</w:t>
            </w:r>
          </w:p>
        </w:tc>
        <w:tc>
          <w:tcPr>
            <w:tcW w:w="4253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</w:pPr>
            <w:r>
              <w:t>Норма</w:t>
            </w:r>
          </w:p>
        </w:tc>
      </w:tr>
      <w:tr w:rsidR="00BC3E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0" w:type="dxa"/>
            <w:gridSpan w:val="3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40"/>
              <w:jc w:val="center"/>
              <w:rPr>
                <w:sz w:val="16"/>
              </w:rPr>
            </w:pPr>
          </w:p>
        </w:tc>
        <w:tc>
          <w:tcPr>
            <w:tcW w:w="7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40"/>
              <w:jc w:val="center"/>
              <w:rPr>
                <w:sz w:val="16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Единицы СИ</w:t>
            </w:r>
          </w:p>
        </w:tc>
        <w:tc>
          <w:tcPr>
            <w:tcW w:w="25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C3E8A" w:rsidRDefault="00BC3E8A">
            <w:pPr>
              <w:widowControl w:val="0"/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Единицы, подлежащие замене</w:t>
            </w:r>
          </w:p>
        </w:tc>
      </w:tr>
      <w:tr w:rsidR="00BC3E8A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</w:pPr>
            <w:r>
              <w:t xml:space="preserve">Гемоглобин 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</w:pPr>
            <w:r>
              <w:t xml:space="preserve">Ж </w:t>
            </w:r>
          </w:p>
          <w:p w:rsidR="00BC3E8A" w:rsidRDefault="00BC3E8A">
            <w:pPr>
              <w:widowControl w:val="0"/>
              <w:spacing w:before="20"/>
              <w:jc w:val="center"/>
            </w:pPr>
            <w:r>
              <w:t>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</w:pPr>
            <w:smartTag w:uri="urn:schemas-microsoft-com:office:smarttags" w:element="metricconverter">
              <w:smartTagPr>
                <w:attr w:name="ProductID" w:val="13,4 г"/>
              </w:smartTagPr>
              <w:r>
                <w:t>13,4</w:t>
              </w:r>
              <w:r>
                <w:rPr>
                  <w:sz w:val="16"/>
                </w:rPr>
                <w:t xml:space="preserve"> г</w:t>
              </w:r>
            </w:smartTag>
            <w:r>
              <w:rPr>
                <w:sz w:val="16"/>
              </w:rPr>
              <w:t>.%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130,0—160,0 120,0—140,0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ã/ë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13,0-16,0 </w:t>
            </w:r>
          </w:p>
          <w:p w:rsidR="00BC3E8A" w:rsidRDefault="00BC3E8A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12,0-14,0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г.%</w:t>
            </w:r>
          </w:p>
        </w:tc>
      </w:tr>
      <w:tr w:rsidR="00BC3E8A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</w:pPr>
            <w:r>
              <w:t xml:space="preserve">Эритроциты               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</w:pPr>
            <w:r>
              <w:t xml:space="preserve">М </w:t>
            </w:r>
          </w:p>
          <w:p w:rsidR="00BC3E8A" w:rsidRDefault="00BC3E8A">
            <w:pPr>
              <w:widowControl w:val="0"/>
              <w:spacing w:before="20"/>
              <w:jc w:val="center"/>
            </w:pPr>
            <w:r>
              <w:t>Ж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  <w:r>
              <w:t xml:space="preserve"> </w:t>
            </w:r>
            <w:r>
              <w:rPr>
                <w:sz w:val="16"/>
              </w:rPr>
              <w:t>млн</w:t>
            </w:r>
            <w:r>
              <w:t>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4,0—5,0</w:t>
            </w:r>
          </w:p>
          <w:p w:rsidR="00BC3E8A" w:rsidRDefault="00BC3E8A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3,9—4,7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* 10</w:t>
            </w:r>
            <w:r>
              <w:rPr>
                <w:sz w:val="16"/>
                <w:vertAlign w:val="superscript"/>
              </w:rPr>
              <w:t>12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4,0—5,0 </w:t>
            </w:r>
          </w:p>
          <w:p w:rsidR="00BC3E8A" w:rsidRDefault="00BC3E8A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3,9—4,7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млн. </w:t>
            </w:r>
          </w:p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BC3E8A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</w:pPr>
            <w:r>
              <w:t xml:space="preserve">Цветовой </w:t>
            </w:r>
          </w:p>
          <w:p w:rsidR="00BC3E8A" w:rsidRDefault="00BC3E8A">
            <w:pPr>
              <w:widowControl w:val="0"/>
              <w:spacing w:before="20"/>
            </w:pPr>
            <w:r>
              <w:t>Показатель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0,85-1,05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0,85—1,05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</w:p>
        </w:tc>
      </w:tr>
      <w:tr w:rsidR="00BC3E8A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</w:pPr>
            <w:r>
              <w:t>Ретикулоциты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E8A" w:rsidRDefault="00BC3E8A">
            <w:pPr>
              <w:widowControl w:val="0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noProof/>
                <w:sz w:val="16"/>
              </w:rPr>
              <w:t>—10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noProof/>
                <w:sz w:val="16"/>
                <w:vertAlign w:val="superscript"/>
              </w:rPr>
            </w:pPr>
            <w:r>
              <w:rPr>
                <w:sz w:val="16"/>
                <w:vertAlign w:val="superscript"/>
              </w:rPr>
              <w:t>0</w:t>
            </w:r>
            <w:r>
              <w:rPr>
                <w:sz w:val="16"/>
              </w:rPr>
              <w:t>/</w:t>
            </w:r>
            <w:r>
              <w:rPr>
                <w:sz w:val="16"/>
                <w:vertAlign w:val="subscript"/>
              </w:rPr>
              <w:t>00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2—10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vertAlign w:val="superscript"/>
              </w:rPr>
              <w:t>0</w:t>
            </w:r>
            <w:r>
              <w:t>/</w:t>
            </w:r>
            <w:r>
              <w:rPr>
                <w:vertAlign w:val="subscript"/>
              </w:rPr>
              <w:t>00</w:t>
            </w:r>
          </w:p>
        </w:tc>
      </w:tr>
      <w:tr w:rsidR="00BC3E8A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E8A" w:rsidRDefault="00BC3E8A">
            <w:pPr>
              <w:widowControl w:val="0"/>
              <w:spacing w:before="20"/>
            </w:pPr>
            <w:r>
              <w:t>Тромбоциты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E8A" w:rsidRDefault="00BC3E8A">
            <w:pPr>
              <w:widowControl w:val="0"/>
              <w:spacing w:before="60"/>
              <w:jc w:val="center"/>
              <w:rPr>
                <w:sz w:val="16"/>
              </w:rPr>
            </w:pPr>
            <w:r>
              <w:rPr>
                <w:sz w:val="24"/>
              </w:rPr>
              <w:t xml:space="preserve">220 </w:t>
            </w:r>
            <w:r>
              <w:rPr>
                <w:sz w:val="16"/>
              </w:rPr>
              <w:t>тыс.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l8</w:t>
            </w:r>
            <w:r>
              <w:rPr>
                <w:sz w:val="16"/>
              </w:rPr>
              <w:t>0</w:t>
            </w:r>
            <w:r>
              <w:rPr>
                <w:sz w:val="16"/>
                <w:lang w:val="en-US"/>
              </w:rPr>
              <w:t>,0— 32</w:t>
            </w:r>
            <w:r>
              <w:rPr>
                <w:sz w:val="16"/>
              </w:rPr>
              <w:t>0</w:t>
            </w:r>
            <w:r>
              <w:rPr>
                <w:sz w:val="16"/>
                <w:lang w:val="en-US"/>
              </w:rPr>
              <w:t>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* 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180,0—320,0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тыс. в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</w:rPr>
              <w:t xml:space="preserve"> 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BC3E8A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</w:pPr>
            <w:r>
              <w:t>Лейкоциты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60"/>
              <w:jc w:val="center"/>
              <w:rPr>
                <w:sz w:val="16"/>
              </w:rPr>
            </w:pPr>
            <w:r>
              <w:rPr>
                <w:sz w:val="24"/>
              </w:rPr>
              <w:t xml:space="preserve">5,0 </w:t>
            </w:r>
            <w:r>
              <w:rPr>
                <w:sz w:val="16"/>
              </w:rPr>
              <w:t>тыс.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4,0—9,0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* 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4,0—9,0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тыс. в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BC3E8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>Миелоциты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----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—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</w:t>
            </w:r>
            <w:r>
              <w:rPr>
                <w:sz w:val="16"/>
              </w:rPr>
              <w:t xml:space="preserve"> 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BC3E8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4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>Метамиелоциты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----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—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BC3E8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4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Палочкоядерные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C3E8A" w:rsidRDefault="00BC3E8A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1—6 </w:t>
            </w:r>
          </w:p>
          <w:p w:rsidR="00BC3E8A" w:rsidRDefault="00BC3E8A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0,040—0,300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1—6 </w:t>
            </w:r>
          </w:p>
          <w:p w:rsidR="00BC3E8A" w:rsidRDefault="00BC3E8A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40-300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BC3E8A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Сегментоядерные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3E8A" w:rsidRDefault="00BC3E8A">
            <w:pPr>
              <w:widowControl w:val="0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 w:rsidR="00BC3E8A" w:rsidRDefault="00BC3E8A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47—72 2,000—5 500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47—72 </w:t>
            </w:r>
          </w:p>
          <w:p w:rsidR="00BC3E8A" w:rsidRDefault="00BC3E8A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2000-5500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BC3E8A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Эозинофилы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C3E8A" w:rsidRDefault="00BC3E8A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0,5—5 0,020—0,300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0,5</w:t>
            </w:r>
            <w:r>
              <w:rPr>
                <w:sz w:val="16"/>
              </w:rPr>
              <w:t>—</w:t>
            </w:r>
            <w:r>
              <w:rPr>
                <w:noProof/>
                <w:sz w:val="16"/>
              </w:rPr>
              <w:t xml:space="preserve">5 </w:t>
            </w:r>
          </w:p>
          <w:p w:rsidR="00BC3E8A" w:rsidRDefault="00BC3E8A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20—300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BC3E8A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Базофилы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0—1 </w:t>
            </w:r>
          </w:p>
          <w:p w:rsidR="00BC3E8A" w:rsidRDefault="00BC3E8A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0—0,065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0</w:t>
            </w:r>
            <w:r>
              <w:rPr>
                <w:sz w:val="16"/>
              </w:rPr>
              <w:t>—</w:t>
            </w:r>
            <w:r>
              <w:rPr>
                <w:noProof/>
                <w:sz w:val="16"/>
              </w:rPr>
              <w:t xml:space="preserve">1 </w:t>
            </w:r>
          </w:p>
          <w:p w:rsidR="00BC3E8A" w:rsidRDefault="00BC3E8A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0—65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BC3E8A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Лимфоциты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BC3E8A" w:rsidRDefault="00BC3E8A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19—37 1,200—</w:t>
            </w:r>
            <w:r>
              <w:rPr>
                <w:sz w:val="16"/>
              </w:rPr>
              <w:t>3.000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19</w:t>
            </w:r>
            <w:r>
              <w:rPr>
                <w:sz w:val="16"/>
              </w:rPr>
              <w:t>—</w:t>
            </w:r>
            <w:r>
              <w:rPr>
                <w:noProof/>
                <w:sz w:val="16"/>
              </w:rPr>
              <w:t xml:space="preserve">37 </w:t>
            </w:r>
          </w:p>
          <w:p w:rsidR="00BC3E8A" w:rsidRDefault="00BC3E8A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1200—3000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BC3E8A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rPr>
                <w:sz w:val="18"/>
              </w:rPr>
            </w:pPr>
            <w:r>
              <w:rPr>
                <w:sz w:val="18"/>
              </w:rPr>
              <w:t>Моноциты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BC3E8A" w:rsidRDefault="00BC3E8A">
            <w:pPr>
              <w:widowControl w:val="0"/>
              <w:spacing w:before="120"/>
              <w:jc w:val="center"/>
              <w:rPr>
                <w:sz w:val="18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3-11 </w:t>
            </w:r>
          </w:p>
          <w:p w:rsidR="00BC3E8A" w:rsidRDefault="00BC3E8A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0,090—0,600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3-11 </w:t>
            </w:r>
          </w:p>
          <w:p w:rsidR="00BC3E8A" w:rsidRDefault="00BC3E8A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90—600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BC3E8A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rPr>
                <w:sz w:val="18"/>
              </w:rPr>
            </w:pPr>
            <w:r>
              <w:rPr>
                <w:sz w:val="18"/>
              </w:rPr>
              <w:t>Плазматические клетки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-----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%*10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% </w:t>
            </w:r>
            <w:r>
              <w:rPr>
                <w:sz w:val="16"/>
              </w:rPr>
              <w:t>в</w:t>
            </w:r>
            <w:r>
              <w:rPr>
                <w:noProof/>
                <w:sz w:val="16"/>
              </w:rPr>
              <w:t xml:space="preserve"> 1 </w:t>
            </w:r>
            <w:r>
              <w:rPr>
                <w:sz w:val="16"/>
              </w:rPr>
              <w:t>мм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(мкл)</w:t>
            </w:r>
          </w:p>
        </w:tc>
      </w:tr>
      <w:tr w:rsidR="00BC3E8A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Скорость (реакция) ос</w:t>
            </w:r>
            <w:r>
              <w:rPr>
                <w:sz w:val="16"/>
              </w:rPr>
              <w:t>е</w:t>
            </w:r>
            <w:r>
              <w:rPr>
                <w:sz w:val="16"/>
              </w:rPr>
              <w:t xml:space="preserve">дания эритроцитов         </w:t>
            </w:r>
          </w:p>
        </w:tc>
        <w:tc>
          <w:tcPr>
            <w:tcW w:w="277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М </w:t>
            </w:r>
          </w:p>
          <w:p w:rsidR="00BC3E8A" w:rsidRDefault="00BC3E8A">
            <w:pPr>
              <w:widowControl w:val="0"/>
              <w:spacing w:before="20"/>
              <w:rPr>
                <w:sz w:val="16"/>
              </w:rPr>
            </w:pPr>
            <w:r>
              <w:rPr>
                <w:sz w:val="16"/>
              </w:rPr>
              <w:t>Ж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BC3E8A" w:rsidRDefault="00BC3E8A">
            <w:pPr>
              <w:widowControl w:val="0"/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16"/>
              </w:rPr>
              <w:t xml:space="preserve"> мм/ч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>2—10</w:t>
            </w:r>
          </w:p>
          <w:p w:rsidR="00BC3E8A" w:rsidRDefault="00BC3E8A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2—15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мм/ч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BC3E8A" w:rsidRDefault="00BC3E8A">
            <w:pPr>
              <w:widowControl w:val="0"/>
              <w:spacing w:before="20"/>
              <w:jc w:val="center"/>
              <w:rPr>
                <w:sz w:val="16"/>
              </w:rPr>
            </w:pPr>
            <w:r>
              <w:rPr>
                <w:noProof/>
                <w:sz w:val="16"/>
              </w:rPr>
              <w:t xml:space="preserve">2—10 </w:t>
            </w:r>
          </w:p>
          <w:p w:rsidR="00BC3E8A" w:rsidRDefault="00BC3E8A">
            <w:pPr>
              <w:widowControl w:val="0"/>
              <w:spacing w:before="20"/>
              <w:jc w:val="center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2-15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BC3E8A" w:rsidRDefault="00BC3E8A">
            <w:pPr>
              <w:widowControl w:val="0"/>
              <w:spacing w:before="120"/>
              <w:jc w:val="center"/>
              <w:rPr>
                <w:sz w:val="16"/>
              </w:rPr>
            </w:pPr>
            <w:r>
              <w:rPr>
                <w:sz w:val="16"/>
              </w:rPr>
              <w:t>мм/час</w:t>
            </w:r>
          </w:p>
        </w:tc>
      </w:tr>
    </w:tbl>
    <w:p w:rsidR="00BC3E8A" w:rsidRDefault="00BC3E8A">
      <w:pPr>
        <w:widowControl w:val="0"/>
        <w:spacing w:before="20"/>
        <w:jc w:val="center"/>
        <w:rPr>
          <w:b/>
          <w:sz w:val="24"/>
        </w:rPr>
      </w:pPr>
    </w:p>
    <w:p w:rsidR="00BC3E8A" w:rsidRDefault="00BC3E8A">
      <w:pPr>
        <w:spacing w:line="360" w:lineRule="auto"/>
        <w:jc w:val="both"/>
        <w:rPr>
          <w:sz w:val="24"/>
        </w:rPr>
      </w:pPr>
      <w:r>
        <w:rPr>
          <w:sz w:val="24"/>
        </w:rPr>
        <w:t>Заключение: патологических изменений не обнаружено.</w:t>
      </w:r>
    </w:p>
    <w:p w:rsidR="00BC3E8A" w:rsidRDefault="00BC3E8A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Биохимический анализ крови:               </w:t>
      </w:r>
      <w:r>
        <w:rPr>
          <w:rFonts w:ascii="Times New Roman" w:hAnsi="Times New Roman"/>
          <w:sz w:val="24"/>
        </w:rPr>
        <w:t>НОРМА</w:t>
      </w:r>
    </w:p>
    <w:p w:rsidR="00BC3E8A" w:rsidRDefault="00BC3E8A">
      <w:pPr>
        <w:pStyle w:val="a4"/>
        <w:rPr>
          <w:rFonts w:ascii="Times New Roman" w:hAnsi="Times New Roman"/>
          <w:sz w:val="24"/>
        </w:rPr>
      </w:pPr>
    </w:p>
    <w:p w:rsidR="00BC3E8A" w:rsidRDefault="00BC3E8A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белок плазмы 71,5 г/л                      65--85 г/л</w:t>
      </w:r>
    </w:p>
    <w:p w:rsidR="00BC3E8A" w:rsidRDefault="00BC3E8A">
      <w:pPr>
        <w:pStyle w:val="a4"/>
        <w:rPr>
          <w:rFonts w:ascii="Times New Roman" w:hAnsi="Times New Roman"/>
          <w:sz w:val="24"/>
        </w:rPr>
      </w:pPr>
    </w:p>
    <w:p w:rsidR="00BC3E8A" w:rsidRDefault="00BC3E8A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Мочевина 18 ммоль/л                                  2,5--10 ммоль/л</w:t>
      </w:r>
    </w:p>
    <w:p w:rsidR="00BC3E8A" w:rsidRDefault="00BC3E8A">
      <w:pPr>
        <w:pStyle w:val="a4"/>
        <w:rPr>
          <w:rFonts w:ascii="Times New Roman" w:hAnsi="Times New Roman"/>
          <w:sz w:val="24"/>
        </w:rPr>
      </w:pPr>
    </w:p>
    <w:p w:rsidR="00BC3E8A" w:rsidRDefault="00BC3E8A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Креатинин крови 0.06 ммоль/л                    М  0.044--0.1 ммоль/л, Ж  0.044--0.088 ммоль/л</w:t>
      </w:r>
    </w:p>
    <w:p w:rsidR="00BC3E8A" w:rsidRDefault="00BC3E8A">
      <w:pPr>
        <w:pStyle w:val="a4"/>
        <w:rPr>
          <w:rFonts w:ascii="Times New Roman" w:hAnsi="Times New Roman"/>
          <w:sz w:val="24"/>
        </w:rPr>
      </w:pPr>
    </w:p>
    <w:p w:rsidR="00BC3E8A" w:rsidRDefault="00BC3E8A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Холестерин 4,0 ммоль/л                               3.9--6.5ммоль/л</w:t>
      </w:r>
    </w:p>
    <w:p w:rsidR="00BC3E8A" w:rsidRDefault="00BC3E8A">
      <w:pPr>
        <w:pStyle w:val="a4"/>
        <w:rPr>
          <w:rFonts w:ascii="Times New Roman" w:hAnsi="Times New Roman"/>
          <w:sz w:val="24"/>
        </w:rPr>
      </w:pPr>
    </w:p>
    <w:p w:rsidR="00BC3E8A" w:rsidRDefault="00BC3E8A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ЛПОНП 0,37 ммоль/л                                   0.33--0.55ммоль/л</w:t>
      </w:r>
    </w:p>
    <w:p w:rsidR="00BC3E8A" w:rsidRDefault="00BC3E8A">
      <w:pPr>
        <w:pStyle w:val="a4"/>
        <w:rPr>
          <w:rFonts w:ascii="Times New Roman" w:hAnsi="Times New Roman"/>
          <w:sz w:val="24"/>
        </w:rPr>
      </w:pPr>
    </w:p>
    <w:p w:rsidR="00BC3E8A" w:rsidRDefault="00BC3E8A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- РБ  </w:t>
      </w:r>
      <w:r>
        <w:rPr>
          <w:rFonts w:ascii="Times New Roman" w:hAnsi="Times New Roman"/>
          <w:sz w:val="24"/>
          <w:lang w:val="en-US"/>
        </w:rPr>
        <w:t>Abs</w:t>
      </w:r>
      <w:r w:rsidRPr="00F5611F">
        <w:rPr>
          <w:rFonts w:ascii="Times New Roman" w:hAnsi="Times New Roman"/>
          <w:sz w:val="24"/>
        </w:rPr>
        <w:t>.</w:t>
      </w:r>
    </w:p>
    <w:p w:rsidR="00BC3E8A" w:rsidRDefault="00BC3E8A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Серомукоиды 0,13 ммоль/л                          0.13--0.2 ммоль/л</w:t>
      </w:r>
    </w:p>
    <w:p w:rsidR="00BC3E8A" w:rsidRDefault="00BC3E8A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Глюкоза    7,2 ммоль/л                                  4,44-6,66 ммоль/л</w:t>
      </w:r>
    </w:p>
    <w:p w:rsidR="00BC3E8A" w:rsidRDefault="00BC3E8A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Заключение: в крови выявлены гипергликемия и повышение уровня мочевины. Данные призн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ки говорят о декомпенсации СД и наличии диабетической нефропатии.</w:t>
      </w:r>
    </w:p>
    <w:p w:rsidR="00BC3E8A" w:rsidRDefault="00BC3E8A">
      <w:pPr>
        <w:pStyle w:val="a4"/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Глюкозурический профиль:</w:t>
      </w:r>
    </w:p>
    <w:p w:rsidR="00BC3E8A" w:rsidRDefault="00BC3E8A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исследования Глюкоза мочи, (г) Глюкоза мочи, ( %) Плотность мочи  head</w:t>
      </w:r>
    </w:p>
    <w:p w:rsidR="00BC3E8A" w:rsidRDefault="00BC3E8A">
      <w:pPr>
        <w:pStyle w:val="a4"/>
        <w:spacing w:line="360" w:lineRule="auto"/>
        <w:rPr>
          <w:rFonts w:ascii="Times New Roman" w:hAnsi="Times New Roman"/>
          <w:sz w:val="24"/>
        </w:rPr>
      </w:pPr>
    </w:p>
    <w:p w:rsidR="00BC3E8A" w:rsidRDefault="00BC3E8A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08—13                               1,25                           2,5                                1039</w:t>
      </w:r>
    </w:p>
    <w:p w:rsidR="00BC3E8A" w:rsidRDefault="00BC3E8A">
      <w:pPr>
        <w:pStyle w:val="a4"/>
        <w:spacing w:line="360" w:lineRule="auto"/>
        <w:rPr>
          <w:rFonts w:ascii="Times New Roman" w:hAnsi="Times New Roman"/>
          <w:sz w:val="24"/>
        </w:rPr>
      </w:pPr>
    </w:p>
    <w:p w:rsidR="00BC3E8A" w:rsidRDefault="00BC3E8A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13—18                               1,0                              1,0 2                             1030</w:t>
      </w:r>
    </w:p>
    <w:p w:rsidR="00BC3E8A" w:rsidRDefault="00BC3E8A">
      <w:pPr>
        <w:pStyle w:val="a4"/>
        <w:spacing w:line="360" w:lineRule="auto"/>
        <w:rPr>
          <w:rFonts w:ascii="Times New Roman" w:hAnsi="Times New Roman"/>
          <w:sz w:val="24"/>
        </w:rPr>
      </w:pPr>
    </w:p>
    <w:p w:rsidR="00BC3E8A" w:rsidRDefault="00BC3E8A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18—22                               10,0                            2,0                                1028</w:t>
      </w:r>
    </w:p>
    <w:p w:rsidR="00BC3E8A" w:rsidRDefault="00BC3E8A">
      <w:pPr>
        <w:pStyle w:val="a4"/>
        <w:spacing w:line="360" w:lineRule="auto"/>
        <w:rPr>
          <w:rFonts w:ascii="Times New Roman" w:hAnsi="Times New Roman"/>
          <w:sz w:val="24"/>
        </w:rPr>
      </w:pPr>
    </w:p>
    <w:p w:rsidR="00BC3E8A" w:rsidRDefault="00BC3E8A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22—02                               2,5                               1,0                               1024</w:t>
      </w:r>
    </w:p>
    <w:p w:rsidR="00BC3E8A" w:rsidRDefault="00BC3E8A">
      <w:pPr>
        <w:pStyle w:val="a4"/>
        <w:spacing w:line="360" w:lineRule="auto"/>
        <w:rPr>
          <w:rFonts w:ascii="Times New Roman" w:hAnsi="Times New Roman"/>
          <w:sz w:val="24"/>
        </w:rPr>
      </w:pPr>
    </w:p>
    <w:p w:rsidR="00BC3E8A" w:rsidRDefault="00BC3E8A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02—08                                1,25                            0,5                               1021</w:t>
      </w:r>
    </w:p>
    <w:p w:rsidR="00BC3E8A" w:rsidRDefault="00BC3E8A">
      <w:pPr>
        <w:pStyle w:val="a4"/>
        <w:spacing w:line="360" w:lineRule="auto"/>
        <w:rPr>
          <w:rFonts w:ascii="Times New Roman" w:hAnsi="Times New Roman"/>
          <w:sz w:val="24"/>
        </w:rPr>
      </w:pPr>
    </w:p>
    <w:p w:rsidR="00BC3E8A" w:rsidRDefault="00BC3E8A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Заключение: отмечена глюкозурия, особенно выраженная в утреннее и вечернее время.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b/>
          <w:sz w:val="24"/>
        </w:rPr>
      </w:pP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Консультации: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Окулист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Заключение: Диабетическая микроангиопатия сосудов дна глаза.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Невропатолог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Заключение: Диабетическая полиневропатия.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Обоснование диагноза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основании жалоб пациентки на жажду, сухость во рту, увеличение количества выделяемой мочи, снижение остроты зрения, слабость, быструю утомляемость при выполнении домашней работы мы можем заподозрить  сахарный диабет. В анамнезе больной данное заболевание уже было диагностировано и неоднократно подтверждено лабораторными данными. При объекти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ном обследовании пациентки в клинике обнаружены гипергликемия и глюкозурия, что делает диагноз сахарного диабета неоспоримым.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Исходя из анамнеза заболевания, мы видим, что манифест диабета возник у больной в возрасте 62 лет; в анамнезе нет данных, свидетельствовавших о достоверном развитии кетоза и гипер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ликемии; манифест заболевания был скорее всего спровоцирован терапией ДТЗ. Других </w:t>
      </w:r>
      <w:r>
        <w:rPr>
          <w:rFonts w:ascii="Times New Roman" w:hAnsi="Times New Roman"/>
          <w:sz w:val="24"/>
        </w:rPr>
        <w:lastRenderedPageBreak/>
        <w:t>ди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ференциально-диагностических данных нет, но имеющейся информации вполне достаточно, чтобы поставить диагноз сахарного диабета II типа.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Признаки заболевания на настоящий момент достаточно выражены, имеются хронические 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ложнения,  продолжительный стаж заболевания,  а также наличие в анамнезе острого инфаркта миокарда, после которого состояние больной стало прогрессивно ухудшаться говорит о наст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пившей декомпенсации СД на фоне неадекватно проводимой терапии. 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Тяжелую степень диабета не позволяет поставить то, что у пациентки не было достоверно 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агностированных коматозных состояний, осложнения умеренной степени выраженности, стаж диабета 11 лет, пациентка в состоянии выполнять нетяжелую работу по дому. Следовательно, у больной имеет место диабет средней степени тяжести: признаки заболевания отчетливы, суто</w:t>
      </w:r>
      <w:r>
        <w:rPr>
          <w:rFonts w:ascii="Times New Roman" w:hAnsi="Times New Roman"/>
          <w:sz w:val="24"/>
        </w:rPr>
        <w:t>ч</w:t>
      </w:r>
      <w:r>
        <w:rPr>
          <w:rFonts w:ascii="Times New Roman" w:hAnsi="Times New Roman"/>
          <w:sz w:val="24"/>
        </w:rPr>
        <w:t xml:space="preserve">ная глюкозурия в пределах </w:t>
      </w:r>
      <w:smartTag w:uri="urn:schemas-microsoft-com:office:smarttags" w:element="metricconverter">
        <w:smartTagPr>
          <w:attr w:name="ProductID" w:val="70 г"/>
        </w:smartTagPr>
        <w:r>
          <w:rPr>
            <w:rFonts w:ascii="Times New Roman" w:hAnsi="Times New Roman"/>
            <w:sz w:val="24"/>
          </w:rPr>
          <w:t>70 г</w:t>
        </w:r>
      </w:smartTag>
      <w:r>
        <w:rPr>
          <w:rFonts w:ascii="Times New Roman" w:hAnsi="Times New Roman"/>
          <w:sz w:val="24"/>
        </w:rPr>
        <w:t>, хронические умеренные осложнения, периодическое снижение трудоспособности, неопределенные указания в анамнезе, напоминающие картину кетоацидоза.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обследовании узкими специалистами установлено, что у пациентки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имеются хронические осложнения сахарного диабета, а именно: ретинопатия сетчатки I стадии –  диабетическая ангиопатия сетчатки;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нейропатия центральной нервной системы.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Убедительных данных за другие микроангиопатии в данное время нет.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Клинический диагноз: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Сахарный диабет II типа в стадии декомпенсации.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Осложнения:</w:t>
      </w:r>
      <w:r>
        <w:rPr>
          <w:rFonts w:ascii="Times New Roman" w:hAnsi="Times New Roman"/>
          <w:sz w:val="24"/>
        </w:rPr>
        <w:t xml:space="preserve">  Диабетическая ангиопатия сетчатки. Диабетическая полиневропатия.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Лечение: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Учитывая наступившую декомпенсацию на фоне приема пероральных сахароснижающих пр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паратов, больной показана коррекция приема сахароснижающих препаратов  и  назначение и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сулина.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Инсулинотерапия также показана в той  ситуации,  когда  диетотерапия  в сочетании с макс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мальными фазами пероральных   препаратов   не   обеспечивают    поддержание нормогликемии (уровень   гликемии  натощак менее 6,0  ммоль/л).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этом случае улучшить контроль может  присоединение  к  прежней терапии инъекции базал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ного инсулина.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Следовательно, пациентка   нуждается в инсулинотерапии, быстрый контроль гликемии может  быть  достигнут либо  на фоне интенсивного режима инсулинотерапии, либо сочетания инс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лина  с сульфаниламидами  II генерации. Режим "ночной инъекции" базального инсулина в сочетании с дневным приемом производных сульфонилмочевины  (BIDS)  в  ходе тщательных </w:t>
      </w:r>
      <w:r>
        <w:rPr>
          <w:rFonts w:ascii="Times New Roman" w:hAnsi="Times New Roman"/>
          <w:sz w:val="24"/>
        </w:rPr>
        <w:lastRenderedPageBreak/>
        <w:t>исследований продемонстрировали эффективность и приемлемость для большинства пацие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тов.  На фоне этого вида терапии наряду со  снижением продукции глюкозы печенью происх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дит уменьшение глюкозотоксичности и частичное восстановление секреторной функции бета-клеток. Лишь небольшая часть этих пациентов нуждается в инсулинотерапии на рег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лярной основе. 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Учитывая все вышесказанное, больной будет целесообразно назначить инсулин в следующей доз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ровке: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масса </w:t>
      </w:r>
      <w:smartTag w:uri="urn:schemas-microsoft-com:office:smarttags" w:element="metricconverter">
        <w:smartTagPr>
          <w:attr w:name="ProductID" w:val="70 кг"/>
        </w:smartTagPr>
        <w:r>
          <w:rPr>
            <w:rFonts w:ascii="Times New Roman" w:hAnsi="Times New Roman"/>
            <w:sz w:val="24"/>
          </w:rPr>
          <w:t>70 кг</w:t>
        </w:r>
      </w:smartTag>
      <w:r>
        <w:rPr>
          <w:rFonts w:ascii="Times New Roman" w:hAnsi="Times New Roman"/>
          <w:sz w:val="24"/>
        </w:rPr>
        <w:t>, следовательно суточная доза может достигать 40 ЕД, в качестве базисной терапии назначается ИЦС (суспензия цинк – инсулина) по 12 ЕД утром и 8 ЕД на ночь, Актрапид --- 6 ЕД утром, 8 ЕД в обед и 4 ЕД на ночь. При проведении очередных профилей глюкозурии и гл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кемии дозировки могут быть далее откоррегированы.</w:t>
      </w:r>
    </w:p>
    <w:p w:rsidR="00BC3E8A" w:rsidRDefault="00BC3E8A">
      <w:pPr>
        <w:pStyle w:val="a4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улучшения микроциркуляции больной можно назначить трентал.</w:t>
      </w:r>
    </w:p>
    <w:sectPr w:rsidR="00BC3E8A">
      <w:headerReference w:type="even" r:id="rId7"/>
      <w:headerReference w:type="default" r:id="rId8"/>
      <w:pgSz w:w="11906" w:h="16838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595" w:rsidRDefault="004E6595">
      <w:r>
        <w:separator/>
      </w:r>
    </w:p>
  </w:endnote>
  <w:endnote w:type="continuationSeparator" w:id="0">
    <w:p w:rsidR="004E6595" w:rsidRDefault="004E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595" w:rsidRDefault="004E6595">
      <w:r>
        <w:separator/>
      </w:r>
    </w:p>
  </w:footnote>
  <w:footnote w:type="continuationSeparator" w:id="0">
    <w:p w:rsidR="004E6595" w:rsidRDefault="004E6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8A" w:rsidRDefault="00BC3E8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C3E8A" w:rsidRDefault="00BC3E8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8A" w:rsidRDefault="00BC3E8A">
    <w:pPr>
      <w:pStyle w:val="a7"/>
      <w:framePr w:w="569" w:wrap="around" w:vAnchor="text" w:hAnchor="page" w:x="6193" w:y="12"/>
      <w:jc w:val="center"/>
      <w:rPr>
        <w:rStyle w:val="a8"/>
        <w:b/>
      </w:rPr>
    </w:pPr>
    <w:r>
      <w:rPr>
        <w:rStyle w:val="a8"/>
        <w:b/>
      </w:rPr>
      <w:t xml:space="preserve"> - </w:t>
    </w:r>
    <w:r>
      <w:rPr>
        <w:rStyle w:val="a8"/>
        <w:b/>
      </w:rPr>
      <w:fldChar w:fldCharType="begin"/>
    </w:r>
    <w:r>
      <w:rPr>
        <w:rStyle w:val="a8"/>
        <w:b/>
      </w:rPr>
      <w:instrText xml:space="preserve">PAGE  </w:instrText>
    </w:r>
    <w:r>
      <w:rPr>
        <w:rStyle w:val="a8"/>
        <w:b/>
      </w:rPr>
      <w:fldChar w:fldCharType="separate"/>
    </w:r>
    <w:r w:rsidR="00E43AAB">
      <w:rPr>
        <w:rStyle w:val="a8"/>
        <w:b/>
        <w:noProof/>
      </w:rPr>
      <w:t>2</w:t>
    </w:r>
    <w:r>
      <w:rPr>
        <w:rStyle w:val="a8"/>
        <w:b/>
      </w:rPr>
      <w:fldChar w:fldCharType="end"/>
    </w:r>
    <w:r>
      <w:rPr>
        <w:rStyle w:val="a8"/>
        <w:b/>
      </w:rPr>
      <w:t xml:space="preserve"> -</w:t>
    </w:r>
  </w:p>
  <w:p w:rsidR="00BC3E8A" w:rsidRDefault="00BC3E8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6562F"/>
    <w:multiLevelType w:val="singleLevel"/>
    <w:tmpl w:val="1CA428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E43333"/>
    <w:multiLevelType w:val="singleLevel"/>
    <w:tmpl w:val="AE8CE6C0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</w:abstractNum>
  <w:abstractNum w:abstractNumId="2" w15:restartNumberingAfterBreak="0">
    <w:nsid w:val="240D3AB3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5A4959F9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4" w15:restartNumberingAfterBreak="0">
    <w:nsid w:val="626E5A38"/>
    <w:multiLevelType w:val="singleLevel"/>
    <w:tmpl w:val="C11032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1F"/>
    <w:rsid w:val="00195B38"/>
    <w:rsid w:val="001B01B6"/>
    <w:rsid w:val="004E6595"/>
    <w:rsid w:val="00AF362A"/>
    <w:rsid w:val="00BC3E8A"/>
    <w:rsid w:val="00D66C64"/>
    <w:rsid w:val="00E43AAB"/>
    <w:rsid w:val="00E67F0E"/>
    <w:rsid w:val="00F5611F"/>
    <w:rsid w:val="00F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3DF12-3BDA-4E13-B787-4FCC132B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ind w:firstLine="284"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firstLine="284"/>
      <w:jc w:val="both"/>
      <w:outlineLvl w:val="2"/>
    </w:pPr>
    <w:rPr>
      <w:rFonts w:ascii="Courier New" w:hAnsi="Courier New"/>
      <w:b/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Стиль1"/>
    <w:basedOn w:val="a"/>
    <w:pPr>
      <w:jc w:val="both"/>
    </w:pPr>
    <w:rPr>
      <w:sz w:val="24"/>
    </w:rPr>
  </w:style>
  <w:style w:type="paragraph" w:styleId="a3">
    <w:name w:val="Название"/>
    <w:basedOn w:val="a"/>
    <w:qFormat/>
    <w:pPr>
      <w:jc w:val="center"/>
    </w:pPr>
    <w:rPr>
      <w:b/>
      <w:sz w:val="36"/>
    </w:rPr>
  </w:style>
  <w:style w:type="paragraph" w:styleId="a4">
    <w:name w:val="Plain Text"/>
    <w:basedOn w:val="a"/>
    <w:rPr>
      <w:rFonts w:ascii="Courier New" w:hAnsi="Courier New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5">
    <w:name w:val="Body Text"/>
    <w:basedOn w:val="a"/>
    <w:rPr>
      <w:sz w:val="28"/>
    </w:rPr>
  </w:style>
  <w:style w:type="paragraph" w:styleId="30">
    <w:name w:val="Body Text 3"/>
    <w:basedOn w:val="a"/>
    <w:pPr>
      <w:spacing w:line="360" w:lineRule="auto"/>
    </w:pPr>
    <w:rPr>
      <w:sz w:val="24"/>
    </w:rPr>
  </w:style>
  <w:style w:type="paragraph" w:customStyle="1" w:styleId="a6">
    <w:name w:val="Повестка"/>
    <w:basedOn w:val="a"/>
    <w:pPr>
      <w:tabs>
        <w:tab w:val="right" w:pos="12191"/>
      </w:tabs>
      <w:spacing w:after="120"/>
      <w:ind w:left="567" w:right="284" w:hanging="283"/>
    </w:pPr>
    <w:rPr>
      <w:rFonts w:ascii="Courier New" w:hAnsi="Courier New"/>
      <w:sz w:val="24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ММА им</vt:lpstr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ММА им</dc:title>
  <dc:subject/>
  <dc:creator>Admin</dc:creator>
  <cp:keywords/>
  <cp:lastModifiedBy>Тест</cp:lastModifiedBy>
  <cp:revision>3</cp:revision>
  <cp:lastPrinted>2001-05-03T18:38:00Z</cp:lastPrinted>
  <dcterms:created xsi:type="dcterms:W3CDTF">2024-05-18T19:53:00Z</dcterms:created>
  <dcterms:modified xsi:type="dcterms:W3CDTF">2024-05-18T19:53:00Z</dcterms:modified>
</cp:coreProperties>
</file>