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B16B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72620C7E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  <w:r>
        <w:rPr>
          <w:b/>
          <w:i/>
          <w:sz w:val="52"/>
          <w:u w:val="single"/>
        </w:rPr>
        <w:t>РЕФЕРАТ</w:t>
      </w:r>
    </w:p>
    <w:p w14:paraId="36862793" w14:textId="77777777" w:rsidR="00E138DF" w:rsidRPr="00B52B59" w:rsidRDefault="00E138DF">
      <w:pPr>
        <w:pStyle w:val="Normal"/>
        <w:jc w:val="center"/>
        <w:rPr>
          <w:szCs w:val="24"/>
        </w:rPr>
      </w:pPr>
      <w:r w:rsidRPr="00B52B59">
        <w:rPr>
          <w:szCs w:val="24"/>
        </w:rPr>
        <w:t>Постдипломное образование</w:t>
      </w:r>
    </w:p>
    <w:p w14:paraId="53A8F829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14451ADC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3A2414DB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1540F279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77A2C86C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3AEFC77A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1BC4710F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5A3208D7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4C8A0961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6696AFF1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3DE8AB5C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2202B719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5D370948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236BE8C6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7DCDB0B1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</w:p>
    <w:p w14:paraId="5700826A" w14:textId="77777777" w:rsidR="00E138DF" w:rsidRDefault="00E138DF">
      <w:pPr>
        <w:pStyle w:val="Normal"/>
        <w:jc w:val="center"/>
        <w:rPr>
          <w:b/>
          <w:i/>
          <w:sz w:val="52"/>
          <w:u w:val="single"/>
        </w:rPr>
      </w:pPr>
      <w:r>
        <w:rPr>
          <w:b/>
          <w:i/>
          <w:sz w:val="52"/>
          <w:u w:val="single"/>
        </w:rPr>
        <w:lastRenderedPageBreak/>
        <w:t>Сальмонеллезы</w:t>
      </w:r>
    </w:p>
    <w:p w14:paraId="4998101F" w14:textId="77777777" w:rsidR="00E138DF" w:rsidRDefault="00E138DF"/>
    <w:p w14:paraId="69AF598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Сальмонеллезы – острые инфекционные заболевания животных и человека, вызываемые многочисленными бактериями из рода сальмонелл и передаваемые, в основном, через пищевые продукты. Клинически сальмонеллезы характеризуются чаще всего поражением органов желудочно-кишечного тракта в виде гастроэнтерита, синдромами интоксикации и обезвоживания. Бывают тяжелые генерализованные формы болезни, протекающие в виде септикопиемического или тифоподобного вариантов. Сальмонеллезный сепсис может развиваться у лиц любого возраста, но чаще наблюдается у новорожденных и детей до года, лиц пожилого и старческого возраста, у которых проходит с высокой лихорадкой, выраженными синдромами интоксикации, полиорганной недостаточности и наличием вторичных септических очагов в легких, эндокарде, центральной нервной системе, а также в органах гепато-биллиарной и урогенитальной системы.</w:t>
      </w:r>
    </w:p>
    <w:p w14:paraId="0709F825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Этиология. Возбудитель болезни принадлежит к роду Salmonella, семейству Enterobacteriaсea. Сальмонеллы – это подвижные, грамотрицательные палочки размерами 2–3 х 0,5–0,8 мкм, являющиеся факультативными аэробами, не образущие спор и капсул, растущие на обычных питательных средах и практически во всех пищевых продуктах, особенно при температуре от +35 до +37°С, но даже и при +7 – +</w:t>
      </w:r>
      <w:smartTag w:uri="urn:schemas-microsoft-com:office:smarttags" w:element="metricconverter">
        <w:smartTagPr>
          <w:attr w:name="ProductID" w:val="45ﾰC"/>
        </w:smartTagPr>
        <w:r>
          <w:t>45°C</w:t>
        </w:r>
      </w:smartTag>
      <w:r>
        <w:t>.</w:t>
      </w:r>
    </w:p>
    <w:p w14:paraId="24815918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Могут существовать в виде L-форм. Имеют сложную антигеннyю структуру и содержат соматический термостабильный О-антиген, жгутиковый термолабильный Н-антиген, поверхностный или капсульный К-антиген, М – антиген, а также Vi-антиген, как компонент О-антигена.</w:t>
      </w:r>
    </w:p>
    <w:p w14:paraId="1143A34C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В практической работе для серологической идентификации сальмонелл проводят исследование по О, Н- и Vi-антигенам. В соответствии с классификацией Кауфмана-Уайта по О-антигену определяют серологические О-группы сальмонелл, обозначаемые буквами А, В, С, D и т.д., по Н-антигену идентифицируют серовары возбудителей. К настоящему времени выделены 67 О-групп сальмонелл и более 2220 сероваров по Н-антигену. По прогнозам ученых существует более 10 тыс сероваров сальмонелл. Выделено свыше 500 сероваров сальмонелл, среди которых наиболее часто встречаются S.Enteritidis, S.Typhimurium, S.Heidelberg, S.Anatum, S.London, S.Derby, S.Newport, S.Reading и другие. Эпидемиологическое значение имеют результаты определения фаговаров сальмонелл, которых, например, у S.Typhimurium – 90, у S.Virchow – 5. </w:t>
      </w:r>
    </w:p>
    <w:p w14:paraId="6ADC4936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Сальмонеллы весьма устойчивы в окружающей среде. Так, в воде открытых пресных водоемов микроорганизмы выживают до 120 дней, в морской воде – до месяца, в водопроводной и сточной воде – месяцы. В пищевых продуктах возбудители сальмонеллеза живут и размножаются в течение длительного времени, в частности, в мясе и колбасе от 2 до 6 мес и более, в молоке, молочных продуктах, сливочном масле – 1,5–6 мес, в яйцах, сырах – год и более, в помете и фекалиях – месяцы и годы. Сальмонеллы хорошо и длительно переносят низкие температуры (например, при 0–2°С – выживают в течение 5–6 мес), а при высоких – сравнительно быстро погибают (при кипячении погибают практически мгновенно, при 60–80°С могут существовать в течение 2–40 мин). Для уничтожения сальмонелл внутри кусков мяса необходимо варить его в течение 2 и более часов.</w:t>
      </w:r>
    </w:p>
    <w:p w14:paraId="1FF19C1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Важное практическое значение имеет чувствительность сальмонелл к терапевтическим концентрациям антибактериальных препаратов.</w:t>
      </w:r>
    </w:p>
    <w:p w14:paraId="12FD3755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В целом, большинство свежевыделенных, особенно госпитальных штаммов сальмонелл полирезистентны к 8–10 химиотерапевтическим препаратам различных групп: ампициллину, карбенициллину, левомицетину, тетрациклину, доксициклину, метациклину, фуразолидону, энтеросептолу, интестопану, эритромицину и другим макролидам, цефалоспоринам I-II поколения, бисептолу и другим лекарствам. Остается сравнительно достаточной </w:t>
      </w:r>
      <w:r>
        <w:lastRenderedPageBreak/>
        <w:t>чувствительность сальмонелл к терапевтическим концентрациям цефалоспоринов III поколения (клафоран, лонгацеф, цефобид и др.), аминогликозидов II-III поколения (гентамицин, сизомицин, тобрамицин, амикацин, нетилмицин), фторхинолонов (офлоксацин, норфлоксацин, ципрофлоксацин, пефлоксацин), рифампицина, полимиксина, тиенама, интетрикса, нифуроксазида.</w:t>
      </w:r>
    </w:p>
    <w:p w14:paraId="174074B9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Эпидемиология. Во всем мире наблюдается устойчивая тенденция к росту заболеваемости сальмонеллезами, удельный вес которых в структуре регистрируемых кишечных инфекций (шигеллезы, эшерихиозы, кампилобактериозы, иерсиниозы и др.) в Англии, США, Германии, Швейцарии и других странах составляет от 35 до 90%. Болезнь встречается в виде как спорадических случаев, так и эпидемических вспышек. Широкому повсеместному распространению сальмонеллезов спосбствуют многие факторы и, в частности, обилие источников возбудителей: крупный рогатый скот, свиньи, лошади, овцы, собаки, кошки, дикие животные (волки, лисы, бобры, медведи), крысы, мыши, домашние и дикие птицы (утки, гуси, куры, индейки, голуби, воробьи, ласточки, чайки и др.). Инфицированность различных групп этих животных колеблется от 6–7 до 80%. Меньшее эпидемиологическое значение имеют холоднокровные (ящерицы, черепахи, змеи, лягушки, рыба, раки, крабы) и насекомые (вши, блохи, клещи, пчелы). Больной человек и бактерионоситель также могут быть источником инфекции.</w:t>
      </w:r>
    </w:p>
    <w:p w14:paraId="1ECAA391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Основным механизмом заражения является алиментарный (энтеральный), ведущие пути передачи сальмонелл – пищевой, водный и контактно-бытовой. Последний характерен для внутрибольничных вспышек болезни, вызываемой в основном S.Typhimurium, причем чаще среди новорожденных и детей до 1 года. По данным А.М.Зарицкого (1988), В.И.Покровского и соавт. (1996) основными факторами передачи сальмонелл при пищевых вспышках болезни являются мясо и мясные продукты (46,2%), студни (28,0%), яйца и яйцепродукты (14,0%), реже кондитерские изделия, молоко, овощи, фрукты, ягоды, рыба и другие экзо- или эндогенно инфицированные пищевые продукты. Вода может быть фактором передачи сальмонелл при ее использовании на пищеблоках. В этом случае происходит инфицирование пищевых продуктов, где возбудитель бурно размножается. Такова же природа распространения возбудителей аэрозольным (пылевым) путем, тараканами и другими насекомыми, переносящими сальмонеллы в пищевые продукты. Сезонность сальмонеллезов – летне-осенняя, однако внутрибольничные вспышки в родильных, детских, гериатрических стационарах нередко возникают зимой и весной. </w:t>
      </w:r>
    </w:p>
    <w:p w14:paraId="5EF1BAA8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Патогенез. Входными воротами инфекции являются слизистые оболочки желудочно-кишечного тракта. Инфицирующая доза составляет примерно 106–107 микробных клеток. Часть сальмонелл гибнет в желудке под влиянием соляной кислоты и ферментов. Это ведет к освобождению и всасыванию эндотоксина, с чем связано развитие синдрома интоксикации – высокая температура, общая слабость, головная боль, тошнота, рвота, ломота в теле, артралгии, миалгии и другие признаки болезни. </w:t>
      </w:r>
    </w:p>
    <w:p w14:paraId="7A9295B8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Помимо эндотоксина патогенность сальмонелл обусловлена адгезией, колонизацией и инвазией ими слизистой оболочки (энтероцитов) тонкой и толстой кишки. Факторами адгезии являются пили и жгутики, инвазии – ферменты. В энтероцитах сальмонеллы образуют энтеротоксин, который совместно с эндотоксином приводит к повышению активности аденилатциклазы и гуанилатциклазы клеточных мембран, накоплению в клетках цАМФ и цГМФ. Это ведет к повышению проницаемости наружных и внутриклеточных мембран, клетка теряет воду, калий, натрий, хлор, бикарбонаты. Под влиянием биологически активных веществ, в частности гистамина и простагландинов, усиливается перистальтика кишечника, развиваются понос и рвота, ведущие к дегидратации, деминерализации, уменьшается объем циркулирующей крови (ОЦК), нарушается микроциркуляция, наступают гипоксия и метаболический ацидоз тканей. При тяжелой интоксикации и дегидратации нарушается функция почек, печени, сердца, легких, ЦНС.</w:t>
      </w:r>
    </w:p>
    <w:p w14:paraId="6486BA1D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lastRenderedPageBreak/>
        <w:t>При иммунодефицитах, связанных с действием радионуклидов, химических веществ, хронической фоновой патологией, применением глюкокортикостероидов, цитостатиков, а также с некоторыми физиологическими факторами (возраст до года, пожилой и старческий), развиваются генерализованные формы сальмонеллезов, при которых поражаются практически все внутренние органы.</w:t>
      </w:r>
    </w:p>
    <w:p w14:paraId="1F9ED78F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При любом клиническом течении сальмонеллеза у больных нарушены процессы пищеварения (полостного, пристеночного) и всасывания, что связано с выраженным дисферментозом, кишечным дисбактериозом и нередко приводит к развитию хронической гастроэнтерологической патологии [Л.Л.Громашевская и соавт., 1976, 1991].</w:t>
      </w:r>
    </w:p>
    <w:p w14:paraId="2BC04771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В связи с эндотоксинемией и дегидратацией поражаются все паренхиматозные органы – печень, почки, поджелудочная железа, надпочечники, миокард, легкие, центральная и вегетативная нервная система; нарушаются клеточные и гуморальные звенья иммунитета. Последнее ведет к формированию длительного бактериовыделения сальмонелл.</w:t>
      </w:r>
    </w:p>
    <w:p w14:paraId="0A81804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u w:val="single"/>
        </w:rPr>
        <w:t>Клиническая классификация</w:t>
      </w:r>
      <w:r>
        <w:t xml:space="preserve"> сальмонеллезов предполагает выделение форм и вариантов болезни, характера течения, определение степени дегидратации и указание осложнений (табл. 1). </w:t>
      </w:r>
    </w:p>
    <w:p w14:paraId="2522456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Таблица 1. </w:t>
      </w:r>
      <w:r>
        <w:rPr>
          <w:rStyle w:val="Strong"/>
        </w:rPr>
        <w:t>Клиническая классификация сальмонеллезов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0"/>
        <w:gridCol w:w="2446"/>
        <w:gridCol w:w="1455"/>
        <w:gridCol w:w="1158"/>
        <w:gridCol w:w="2248"/>
      </w:tblGrid>
      <w:tr w:rsidR="00E138DF" w14:paraId="45701B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ECC9F89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Клиническая форма</w:t>
            </w:r>
          </w:p>
        </w:tc>
        <w:tc>
          <w:tcPr>
            <w:tcW w:w="24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1129ED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</w:p>
        </w:tc>
        <w:tc>
          <w:tcPr>
            <w:tcW w:w="14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825D29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Течение</w:t>
            </w:r>
          </w:p>
        </w:tc>
        <w:tc>
          <w:tcPr>
            <w:tcW w:w="11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3CD5AC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Степень де-гидратации</w:t>
            </w:r>
          </w:p>
        </w:tc>
        <w:tc>
          <w:tcPr>
            <w:tcW w:w="22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8DDF0EB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Осложнения</w:t>
            </w:r>
          </w:p>
        </w:tc>
      </w:tr>
      <w:tr w:rsidR="00E138DF" w14:paraId="57F248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CE47FC" w14:textId="77777777" w:rsidR="00E138DF" w:rsidRDefault="00E138DF">
            <w:pPr>
              <w:pStyle w:val="Normal"/>
            </w:pPr>
            <w:r>
              <w:t>Гастроинтестинальная</w:t>
            </w:r>
          </w:p>
        </w:tc>
        <w:tc>
          <w:tcPr>
            <w:tcW w:w="24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AC7DD1" w14:textId="77777777" w:rsidR="00E138DF" w:rsidRDefault="00E138DF">
            <w:pPr>
              <w:pStyle w:val="Normal"/>
            </w:pPr>
            <w:r>
              <w:t>Гастритический</w:t>
            </w:r>
            <w:r>
              <w:br/>
              <w:t>Гастроэнтеритический</w:t>
            </w:r>
            <w:r>
              <w:br/>
              <w:t>Гастроэнтероколитический</w:t>
            </w:r>
          </w:p>
        </w:tc>
        <w:tc>
          <w:tcPr>
            <w:tcW w:w="14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638ABA" w14:textId="77777777" w:rsidR="00E138DF" w:rsidRDefault="00E138DF">
            <w:pPr>
              <w:pStyle w:val="Normal"/>
            </w:pPr>
            <w:r>
              <w:t>Субклиническое</w:t>
            </w:r>
            <w:r>
              <w:br/>
              <w:t>Легкое</w:t>
            </w:r>
            <w:r>
              <w:br/>
              <w:t>Среднетяжелое</w:t>
            </w:r>
            <w:r>
              <w:br/>
              <w:t>Тяжелое</w:t>
            </w:r>
          </w:p>
        </w:tc>
        <w:tc>
          <w:tcPr>
            <w:tcW w:w="1158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CDC635" w14:textId="77777777" w:rsidR="00E138DF" w:rsidRDefault="00E138DF">
            <w:pPr>
              <w:pStyle w:val="Normal"/>
            </w:pPr>
            <w:r>
              <w:t>I–IV ст.</w:t>
            </w:r>
          </w:p>
        </w:tc>
        <w:tc>
          <w:tcPr>
            <w:tcW w:w="2248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39A16A" w14:textId="77777777" w:rsidR="00E138DF" w:rsidRDefault="00E138DF">
            <w:pPr>
              <w:pStyle w:val="Normal"/>
            </w:pPr>
            <w:r>
              <w:t>Плевропневмония</w:t>
            </w:r>
            <w:r>
              <w:br/>
              <w:t>Менингит</w:t>
            </w:r>
            <w:r>
              <w:br/>
              <w:t>Гепатохолецистит</w:t>
            </w:r>
            <w:r>
              <w:br/>
              <w:t>Инфекционно-токсиче-</w:t>
            </w:r>
            <w:r>
              <w:br/>
              <w:t>ский шок</w:t>
            </w:r>
            <w:r>
              <w:br/>
              <w:t>Дегидратационный шок</w:t>
            </w:r>
            <w:r>
              <w:br/>
              <w:t>Острая почечная недо-</w:t>
            </w:r>
            <w:r>
              <w:br/>
              <w:t>статочность</w:t>
            </w:r>
            <w:r>
              <w:br/>
              <w:t>Острая почечно-пече-</w:t>
            </w:r>
            <w:r>
              <w:br/>
              <w:t>ночная недостаточность</w:t>
            </w:r>
            <w:r>
              <w:br/>
              <w:t>Отек-набухание вещест-</w:t>
            </w:r>
            <w:r>
              <w:br/>
              <w:t>ва головного мозга</w:t>
            </w:r>
          </w:p>
        </w:tc>
      </w:tr>
      <w:tr w:rsidR="00E138DF" w14:paraId="63B7BA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CAE346" w14:textId="77777777" w:rsidR="00E138DF" w:rsidRDefault="00E138DF">
            <w:pPr>
              <w:pStyle w:val="Normal"/>
            </w:pPr>
            <w:r>
              <w:t>Генерализованная</w:t>
            </w:r>
          </w:p>
        </w:tc>
        <w:tc>
          <w:tcPr>
            <w:tcW w:w="24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7D98FE" w14:textId="77777777" w:rsidR="00E138DF" w:rsidRDefault="00E138DF">
            <w:pPr>
              <w:pStyle w:val="Normal"/>
            </w:pPr>
            <w:r>
              <w:t>Септикопиемический</w:t>
            </w:r>
            <w:r>
              <w:br/>
              <w:t>Септицемический</w:t>
            </w:r>
            <w:r>
              <w:br/>
              <w:t>Тифоподобный</w:t>
            </w:r>
          </w:p>
        </w:tc>
        <w:tc>
          <w:tcPr>
            <w:tcW w:w="14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633AB0" w14:textId="77777777" w:rsidR="00E138DF" w:rsidRDefault="00E138DF">
            <w:pPr>
              <w:pStyle w:val="Normal"/>
            </w:pPr>
            <w:r>
              <w:t>Тяжелое</w:t>
            </w:r>
          </w:p>
        </w:tc>
        <w:tc>
          <w:tcPr>
            <w:tcW w:w="115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8CF59DD" w14:textId="77777777" w:rsidR="00E138DF" w:rsidRDefault="00E138DF">
            <w:pPr>
              <w:pStyle w:val="Normal"/>
            </w:pPr>
          </w:p>
        </w:tc>
        <w:tc>
          <w:tcPr>
            <w:tcW w:w="224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5B74AA8" w14:textId="77777777" w:rsidR="00E138DF" w:rsidRDefault="00E138DF">
            <w:pPr>
              <w:pStyle w:val="Normal"/>
            </w:pPr>
          </w:p>
        </w:tc>
      </w:tr>
      <w:tr w:rsidR="00E138DF" w14:paraId="65C116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7D149C" w14:textId="77777777" w:rsidR="00E138DF" w:rsidRDefault="00E138DF">
            <w:pPr>
              <w:pStyle w:val="Normal"/>
            </w:pPr>
            <w:r>
              <w:t>Бактериовыделение</w:t>
            </w:r>
          </w:p>
        </w:tc>
        <w:tc>
          <w:tcPr>
            <w:tcW w:w="24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8C6689" w14:textId="77777777" w:rsidR="00E138DF" w:rsidRDefault="00E138DF">
            <w:pPr>
              <w:pStyle w:val="Normal"/>
            </w:pPr>
            <w:r>
              <w:t>Транзиторное</w:t>
            </w:r>
            <w:r>
              <w:br/>
              <w:t>Острое</w:t>
            </w:r>
            <w:r>
              <w:br/>
              <w:t>Хроническое</w:t>
            </w:r>
          </w:p>
        </w:tc>
        <w:tc>
          <w:tcPr>
            <w:tcW w:w="14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4662A5" w14:textId="77777777" w:rsidR="00E138DF" w:rsidRDefault="00E138DF">
            <w:pPr>
              <w:pStyle w:val="Normal"/>
            </w:pPr>
            <w:r>
              <w:t>–</w:t>
            </w:r>
          </w:p>
        </w:tc>
        <w:tc>
          <w:tcPr>
            <w:tcW w:w="11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433BB7" w14:textId="77777777" w:rsidR="00E138DF" w:rsidRDefault="00E138DF">
            <w:pPr>
              <w:pStyle w:val="Normal"/>
            </w:pPr>
            <w:r>
              <w:t>–</w:t>
            </w:r>
          </w:p>
        </w:tc>
        <w:tc>
          <w:tcPr>
            <w:tcW w:w="22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56CB46" w14:textId="77777777" w:rsidR="00E138DF" w:rsidRDefault="00E138DF">
            <w:pPr>
              <w:pStyle w:val="Normal"/>
            </w:pPr>
            <w:r>
              <w:t>–</w:t>
            </w:r>
          </w:p>
        </w:tc>
      </w:tr>
    </w:tbl>
    <w:p w14:paraId="3B8BA639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Степень дегидратации определяется потерей жидкости в процентах от массы тела: I степень – 1–3% у взрослых, 1–5% у детей; II степень – соответвственно 4–6% и 6–10%; III степень – 7–9% и 11–15%; IV степень – </w:t>
      </w:r>
      <w:r>
        <w:rPr>
          <w:rFonts w:ascii="Symbol" w:hAnsi="Symbol"/>
        </w:rPr>
        <w:t></w:t>
      </w:r>
      <w:r>
        <w:t>10%.</w:t>
      </w:r>
    </w:p>
    <w:p w14:paraId="7774A19C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Клиника. Инкубационный период длится от 2–3 часов до 2–3 дней, в среднем – сутки. Заболевание начинается остро. В начальном периоде доминируют признаки интоксикации </w:t>
      </w:r>
      <w:r>
        <w:lastRenderedPageBreak/>
        <w:t xml:space="preserve">(общая слабость, головная боль, озноб, высокая температура и др.), вслед за чем появляются симптомы гастроэнтерита – рвота, понос, боль преимущественно в правой половине живота. При гастроинтестинальной форме болезни (75–95% случаев) в зависимости от тяжести ее течения рвота и понос повторяются от 2–3 до 10–20 раз в сутки. Испражнения обычно водянистые со слизью зеленоватого цвета. При гастроэнтероколитическом варианте гастроинтестинальной формы сальмонеллеза испражнения содержат патологические примеси в виде слизи и крови. Кожа и видимые слизистые оболочки сухие, язык обложен белым налетом. Живот умеренно вздут, при пальпации болезнен в эпигастрии, области пупка, правой подвздошной области. Усиление перистальтики кишечника сопровождается урчанием. При тяжелом течении заболевания увеличены печень и селезенка. </w:t>
      </w:r>
    </w:p>
    <w:p w14:paraId="5068D3C2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В связи с обезвоживанием, дизэлектролитемией, нарушением кислотно-основного состояния (KОC) у части больных развиваются судороги мышц ног и рук. Отмечаются признаки поражения сердечно-сосудистой системы – глухость сердечных тонов, расширение границ сердца, тахикардия, аритмия, гипотония вплоть до коллапса. В крови – умеренный лейкоцитоз, сдвиг лейкоцитарной формулы влево, увеличенная СОЭ. Поражение почек сопровождается олигоанурией, повышением содержания креатинина и мочевины в крови. В моче – повышенное содержание белка, лейкоцитов, цилиндры, эритроциты.</w:t>
      </w:r>
    </w:p>
    <w:p w14:paraId="60909D81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В среднем длительность гастроинтестинальной формы болезни составляет 4–7 дней. </w:t>
      </w:r>
    </w:p>
    <w:p w14:paraId="26F74A8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Клинические проявления гастроинтестинальной формы сальмонеллеза в зависимости от тяжести представлены в таблице 2.</w:t>
      </w:r>
    </w:p>
    <w:p w14:paraId="77F24599" w14:textId="77777777" w:rsidR="00E138DF" w:rsidRDefault="00E138DF" w:rsidP="00B52B59">
      <w:pPr>
        <w:pStyle w:val="Normal"/>
        <w:spacing w:before="0" w:after="0"/>
        <w:ind w:firstLine="709"/>
        <w:jc w:val="both"/>
        <w:rPr>
          <w:rStyle w:val="Strong"/>
        </w:rPr>
      </w:pPr>
      <w:r>
        <w:t xml:space="preserve">Таблица 2. </w:t>
      </w:r>
      <w:r>
        <w:rPr>
          <w:rStyle w:val="Strong"/>
        </w:rPr>
        <w:t>Частота и выраженность клинических и лабораторных признаков сальмонеллеза в зависимости от тяжести течения болезни</w:t>
      </w:r>
    </w:p>
    <w:p w14:paraId="2464FFC3" w14:textId="77777777" w:rsidR="00B52B59" w:rsidRDefault="00B52B59" w:rsidP="00B52B59">
      <w:pPr>
        <w:pStyle w:val="Normal"/>
        <w:spacing w:before="0" w:after="0"/>
        <w:ind w:firstLine="709"/>
        <w:jc w:val="both"/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0"/>
        <w:gridCol w:w="1549"/>
        <w:gridCol w:w="2375"/>
        <w:gridCol w:w="3304"/>
      </w:tblGrid>
      <w:tr w:rsidR="001703BA" w14:paraId="09BE50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0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00"/>
            <w:vAlign w:val="center"/>
          </w:tcPr>
          <w:p w14:paraId="51B49502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Признаки</w:t>
            </w:r>
          </w:p>
        </w:tc>
        <w:tc>
          <w:tcPr>
            <w:tcW w:w="722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00"/>
            <w:vAlign w:val="center"/>
          </w:tcPr>
          <w:p w14:paraId="17C55E46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Течение</w:t>
            </w:r>
          </w:p>
        </w:tc>
      </w:tr>
      <w:tr w:rsidR="00E138DF" w14:paraId="302144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0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161F97" w14:textId="77777777" w:rsidR="00E138DF" w:rsidRDefault="00E138DF">
            <w:pPr>
              <w:pStyle w:val="Normal"/>
            </w:pP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00"/>
            <w:vAlign w:val="center"/>
          </w:tcPr>
          <w:p w14:paraId="1CC6D6DF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Легкое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00"/>
            <w:vAlign w:val="center"/>
          </w:tcPr>
          <w:p w14:paraId="132DFBE3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Среднетяжелое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00"/>
            <w:vAlign w:val="center"/>
          </w:tcPr>
          <w:p w14:paraId="6624E2E4" w14:textId="77777777" w:rsidR="00E138DF" w:rsidRDefault="00E138D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Тяжелое</w:t>
            </w:r>
          </w:p>
        </w:tc>
      </w:tr>
      <w:tr w:rsidR="00E138DF" w14:paraId="31E5DD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427701" w14:textId="77777777" w:rsidR="00E138DF" w:rsidRDefault="00E138DF">
            <w:pPr>
              <w:pStyle w:val="Normal"/>
            </w:pPr>
            <w:r>
              <w:t>Потеря жидкости</w:t>
            </w:r>
            <w:r>
              <w:br/>
              <w:t>(% от массы тела)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DC1B5C" w14:textId="77777777" w:rsidR="00E138DF" w:rsidRDefault="00E138DF">
            <w:pPr>
              <w:pStyle w:val="Normal"/>
            </w:pPr>
            <w:r>
              <w:t>1–3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6126286" w14:textId="77777777" w:rsidR="00E138DF" w:rsidRDefault="00E138DF">
            <w:pPr>
              <w:pStyle w:val="Normal"/>
            </w:pPr>
            <w:r>
              <w:t>4–6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5AA12B" w14:textId="77777777" w:rsidR="00E138DF" w:rsidRDefault="00E138DF">
            <w:pPr>
              <w:pStyle w:val="Normal"/>
            </w:pPr>
            <w:r>
              <w:t>7–10</w:t>
            </w:r>
          </w:p>
        </w:tc>
      </w:tr>
      <w:tr w:rsidR="00E138DF" w14:paraId="345A60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6D0454" w14:textId="77777777" w:rsidR="00E138DF" w:rsidRDefault="00E138DF">
            <w:pPr>
              <w:pStyle w:val="Normal"/>
            </w:pPr>
            <w:r>
              <w:t>Желудочно-кишечный</w:t>
            </w:r>
            <w:r>
              <w:br/>
              <w:t>тракт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34BE0E9" w14:textId="77777777" w:rsidR="00E138DF" w:rsidRDefault="00E138DF">
            <w:pPr>
              <w:pStyle w:val="Normal"/>
            </w:pPr>
            <w:r>
              <w:t>Рвота 2–3 раза,</w:t>
            </w:r>
            <w:r>
              <w:br/>
              <w:t>стул 3–5 раз в</w:t>
            </w:r>
            <w:r>
              <w:br/>
              <w:t>сутки на протя-</w:t>
            </w:r>
            <w:r>
              <w:br/>
              <w:t>жении 1–3 дней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000EAE" w14:textId="77777777" w:rsidR="00E138DF" w:rsidRDefault="00E138DF">
            <w:pPr>
              <w:pStyle w:val="Normal"/>
            </w:pPr>
            <w:r>
              <w:t>Рвота и стул 6–15 раз в</w:t>
            </w:r>
            <w:r>
              <w:br/>
              <w:t>сутки на протяжении</w:t>
            </w:r>
            <w:r>
              <w:br/>
              <w:t>5–7 дней, метеоризм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40005A" w14:textId="77777777" w:rsidR="00E138DF" w:rsidRDefault="00E138DF">
            <w:pPr>
              <w:pStyle w:val="Normal"/>
            </w:pPr>
            <w:r>
              <w:t>Многократная рвота, стул до 20 и</w:t>
            </w:r>
            <w:r>
              <w:br/>
              <w:t>более раз в сутки, интенсивная</w:t>
            </w:r>
            <w:r>
              <w:br/>
              <w:t>боль в животе, увеличение</w:t>
            </w:r>
            <w:r>
              <w:br/>
              <w:t>печени и селезенки</w:t>
            </w:r>
          </w:p>
        </w:tc>
      </w:tr>
      <w:tr w:rsidR="00E138DF" w14:paraId="3163DE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A23A705" w14:textId="77777777" w:rsidR="00E138DF" w:rsidRDefault="00E138DF">
            <w:pPr>
              <w:pStyle w:val="Normal"/>
            </w:pPr>
            <w:r>
              <w:t>Дыхание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CB2B8F" w14:textId="77777777" w:rsidR="00E138DF" w:rsidRDefault="00E138DF">
            <w:pPr>
              <w:pStyle w:val="Normal"/>
            </w:pPr>
            <w:r>
              <w:t>Не нарушено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52BE07" w14:textId="77777777" w:rsidR="00E138DF" w:rsidRDefault="00E138DF">
            <w:pPr>
              <w:pStyle w:val="Normal"/>
            </w:pPr>
            <w:r>
              <w:t>Легкая одышка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50EB68" w14:textId="77777777" w:rsidR="00E138DF" w:rsidRDefault="00E138DF">
            <w:pPr>
              <w:pStyle w:val="Normal"/>
            </w:pPr>
            <w:r>
              <w:t>Выраженная одышка</w:t>
            </w:r>
          </w:p>
        </w:tc>
      </w:tr>
      <w:tr w:rsidR="00E138DF" w14:paraId="5F49B3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6D1F50" w14:textId="77777777" w:rsidR="00E138DF" w:rsidRDefault="00E138DF">
            <w:pPr>
              <w:pStyle w:val="Normal"/>
            </w:pPr>
            <w:r>
              <w:t>Кровообращение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5736BF" w14:textId="77777777" w:rsidR="00E138DF" w:rsidRDefault="00E138DF">
            <w:pPr>
              <w:pStyle w:val="Normal"/>
            </w:pPr>
            <w:r>
              <w:t>Не нарушено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DC32CD" w14:textId="77777777" w:rsidR="00E138DF" w:rsidRDefault="00E138DF">
            <w:pPr>
              <w:pStyle w:val="Normal"/>
            </w:pPr>
            <w:r>
              <w:t>ЧСС 100–120 уд./мин,</w:t>
            </w:r>
            <w:r>
              <w:br/>
              <w:t>90</w:t>
            </w:r>
            <w:r>
              <w:rPr>
                <w:rFonts w:ascii="Symbol" w:hAnsi="Symbol"/>
              </w:rPr>
              <w:t></w:t>
            </w:r>
            <w:r>
              <w:t>АД&gt;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t>70 мм</w:t>
              </w:r>
            </w:smartTag>
            <w:r>
              <w:t xml:space="preserve"> рт.ст.,</w:t>
            </w:r>
            <w:r>
              <w:br/>
              <w:t>бледность кожи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95AE39" w14:textId="77777777" w:rsidR="00E138DF" w:rsidRDefault="00E138DF">
            <w:pPr>
              <w:pStyle w:val="Normal"/>
            </w:pPr>
            <w:r>
              <w:t>Тахикардия, пульс нитевидный</w:t>
            </w:r>
            <w:r>
              <w:br/>
              <w:t>или не определяется, АД&lt;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t>70 мм</w:t>
              </w:r>
            </w:smartTag>
            <w:r>
              <w:br/>
              <w:t>рт.ст., цианоз кожи, коллапс</w:t>
            </w:r>
          </w:p>
        </w:tc>
      </w:tr>
      <w:tr w:rsidR="00E138DF" w14:paraId="33C64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66B43E" w14:textId="77777777" w:rsidR="00E138DF" w:rsidRDefault="00E138DF">
            <w:pPr>
              <w:pStyle w:val="Normal"/>
            </w:pPr>
            <w:r>
              <w:t>Функция почек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1D830A" w14:textId="77777777" w:rsidR="00E138DF" w:rsidRDefault="00E138DF">
            <w:pPr>
              <w:pStyle w:val="Normal"/>
            </w:pPr>
            <w:r>
              <w:t>Не нарушена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3912A3" w14:textId="77777777" w:rsidR="00E138DF" w:rsidRDefault="00E138DF">
            <w:pPr>
              <w:pStyle w:val="Normal"/>
            </w:pPr>
            <w:r>
              <w:t>Олигурия, альбумин-</w:t>
            </w:r>
            <w:r>
              <w:br/>
              <w:t>урия, лейкоцитурия в</w:t>
            </w:r>
            <w:r>
              <w:br/>
              <w:t>течение 1–2 дней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78CE8A8" w14:textId="77777777" w:rsidR="00E138DF" w:rsidRDefault="00E138DF">
            <w:pPr>
              <w:pStyle w:val="Normal"/>
            </w:pPr>
            <w:r>
              <w:t>Олиго- или анурия, гематурия,</w:t>
            </w:r>
            <w:r>
              <w:br/>
              <w:t>цилиндрурия, повышение</w:t>
            </w:r>
            <w:r>
              <w:br/>
              <w:t>мочевины и креатинина в крови</w:t>
            </w:r>
          </w:p>
        </w:tc>
      </w:tr>
      <w:tr w:rsidR="00E138DF" w14:paraId="39430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9D2526C" w14:textId="77777777" w:rsidR="00E138DF" w:rsidRDefault="00E138DF">
            <w:pPr>
              <w:pStyle w:val="Normal"/>
            </w:pPr>
            <w:r>
              <w:t>Жажда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B0F0BE" w14:textId="77777777" w:rsidR="00E138DF" w:rsidRDefault="00E138DF">
            <w:pPr>
              <w:pStyle w:val="Normal"/>
            </w:pPr>
            <w:r>
              <w:t>Умеренная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109E5C" w14:textId="77777777" w:rsidR="00E138DF" w:rsidRDefault="00E138DF">
            <w:pPr>
              <w:pStyle w:val="Normal"/>
            </w:pPr>
            <w:r>
              <w:t>Значительная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F981AA4" w14:textId="77777777" w:rsidR="00E138DF" w:rsidRDefault="00E138DF">
            <w:pPr>
              <w:pStyle w:val="Normal"/>
            </w:pPr>
            <w:r>
              <w:t>Резко выражена</w:t>
            </w:r>
          </w:p>
        </w:tc>
      </w:tr>
      <w:tr w:rsidR="00E138DF" w14:paraId="651132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D74043" w14:textId="77777777" w:rsidR="00E138DF" w:rsidRDefault="00E138DF">
            <w:pPr>
              <w:pStyle w:val="Normal"/>
            </w:pPr>
            <w:r>
              <w:t>Тургор кожи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C930B2" w14:textId="77777777" w:rsidR="00E138DF" w:rsidRDefault="00E138DF">
            <w:pPr>
              <w:pStyle w:val="Normal"/>
            </w:pPr>
            <w:r>
              <w:t>Не изменен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5DD4C9" w14:textId="77777777" w:rsidR="00E138DF" w:rsidRDefault="00E138DF">
            <w:pPr>
              <w:pStyle w:val="Normal"/>
            </w:pPr>
            <w:r>
              <w:t>Снижен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5B8FEBB" w14:textId="77777777" w:rsidR="00E138DF" w:rsidRDefault="00E138DF">
            <w:pPr>
              <w:pStyle w:val="Normal"/>
            </w:pPr>
            <w:r>
              <w:t>Резко снижен</w:t>
            </w:r>
          </w:p>
        </w:tc>
      </w:tr>
      <w:tr w:rsidR="00E138DF" w14:paraId="7BA93D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C5D8E0" w14:textId="77777777" w:rsidR="00E138DF" w:rsidRDefault="00E138DF">
            <w:pPr>
              <w:pStyle w:val="Normal"/>
            </w:pPr>
            <w:r>
              <w:t>Судороги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1DE0F7" w14:textId="77777777" w:rsidR="00E138DF" w:rsidRDefault="00E138DF">
            <w:pPr>
              <w:pStyle w:val="Normal"/>
            </w:pPr>
            <w:r>
              <w:t>Отсутствуют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4C4A88" w14:textId="77777777" w:rsidR="00E138DF" w:rsidRDefault="00E138DF">
            <w:pPr>
              <w:pStyle w:val="Normal"/>
            </w:pPr>
            <w:r>
              <w:t>Кратковременные в</w:t>
            </w:r>
            <w:r>
              <w:br/>
              <w:t>икроножных мышцах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D42557" w14:textId="77777777" w:rsidR="00E138DF" w:rsidRDefault="00E138DF">
            <w:pPr>
              <w:pStyle w:val="Normal"/>
            </w:pPr>
            <w:r>
              <w:t>Продолжительные, генерализо-</w:t>
            </w:r>
            <w:r>
              <w:br/>
              <w:t>ванные, болезненные, "рука</w:t>
            </w:r>
            <w:r>
              <w:br/>
              <w:t>акушера", "конская стопа"</w:t>
            </w:r>
          </w:p>
        </w:tc>
      </w:tr>
      <w:tr w:rsidR="00E138DF" w14:paraId="4C1574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ACB288" w14:textId="77777777" w:rsidR="00E138DF" w:rsidRDefault="00E138DF">
            <w:pPr>
              <w:pStyle w:val="Normal"/>
            </w:pPr>
            <w:r>
              <w:t>Голос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A49DBCE" w14:textId="77777777" w:rsidR="00E138DF" w:rsidRDefault="00E138DF">
            <w:pPr>
              <w:pStyle w:val="Normal"/>
            </w:pPr>
            <w:r>
              <w:t>Сохранен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8243DB" w14:textId="77777777" w:rsidR="00E138DF" w:rsidRDefault="00E138DF">
            <w:pPr>
              <w:pStyle w:val="Normal"/>
            </w:pPr>
            <w:r>
              <w:t>Ослаблен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71F01E" w14:textId="77777777" w:rsidR="00E138DF" w:rsidRDefault="00E138DF">
            <w:pPr>
              <w:pStyle w:val="Normal"/>
            </w:pPr>
            <w:r>
              <w:t>Осиплость, афония</w:t>
            </w:r>
          </w:p>
        </w:tc>
      </w:tr>
      <w:tr w:rsidR="00E138DF" w14:paraId="561EF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1ACFA3" w14:textId="77777777" w:rsidR="00E138DF" w:rsidRDefault="00E138DF">
            <w:pPr>
              <w:pStyle w:val="Normal"/>
            </w:pPr>
            <w:r>
              <w:t>Периферическая кровь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9C861F" w14:textId="77777777" w:rsidR="00E138DF" w:rsidRDefault="00E138DF">
            <w:pPr>
              <w:pStyle w:val="Normal"/>
            </w:pPr>
            <w:r>
              <w:t>Небольшой</w:t>
            </w:r>
            <w:r>
              <w:br/>
              <w:t>лейкоцитоз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D207F0" w14:textId="77777777" w:rsidR="00E138DF" w:rsidRDefault="00E138DF">
            <w:pPr>
              <w:pStyle w:val="Normal"/>
            </w:pPr>
            <w:r>
              <w:t>Лейкоцитоз, нейтро-</w:t>
            </w:r>
            <w:r>
              <w:br/>
              <w:t>филез, эозинопения,</w:t>
            </w:r>
            <w:r>
              <w:br/>
              <w:t>увеличенная СОЭ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875044" w14:textId="77777777" w:rsidR="00E138DF" w:rsidRDefault="00E138DF">
            <w:pPr>
              <w:pStyle w:val="Normal"/>
            </w:pPr>
            <w:r>
              <w:t>Лейкоцитоз, анэозинофилия, рез-</w:t>
            </w:r>
            <w:r>
              <w:br/>
              <w:t>кий сдвиг формулы влево,</w:t>
            </w:r>
            <w:r>
              <w:br/>
              <w:t>увеличенная СОЭ</w:t>
            </w:r>
          </w:p>
        </w:tc>
      </w:tr>
      <w:tr w:rsidR="00E138DF" w14:paraId="6E0046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170888" w14:textId="77777777" w:rsidR="00E138DF" w:rsidRDefault="00E138DF">
            <w:pPr>
              <w:pStyle w:val="Normal"/>
            </w:pPr>
            <w:r>
              <w:t>Гематокрит (%)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AF4FE7" w14:textId="77777777" w:rsidR="00E138DF" w:rsidRDefault="00E138DF">
            <w:pPr>
              <w:pStyle w:val="Normal"/>
            </w:pPr>
            <w:r>
              <w:t>40–45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992C8E" w14:textId="77777777" w:rsidR="00E138DF" w:rsidRDefault="00E138DF">
            <w:pPr>
              <w:pStyle w:val="Normal"/>
            </w:pPr>
            <w:r>
              <w:t>46–50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4F230B" w14:textId="77777777" w:rsidR="00E138DF" w:rsidRDefault="00E138DF">
            <w:pPr>
              <w:pStyle w:val="Normal"/>
            </w:pPr>
            <w:r>
              <w:t>&gt;50</w:t>
            </w:r>
          </w:p>
        </w:tc>
      </w:tr>
      <w:tr w:rsidR="00E138DF" w14:paraId="5B2AC3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A02642" w14:textId="77777777" w:rsidR="00E138DF" w:rsidRDefault="00E138DF">
            <w:pPr>
              <w:pStyle w:val="Normal"/>
            </w:pPr>
            <w:r>
              <w:t>pH крови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9E875EF" w14:textId="77777777" w:rsidR="00E138DF" w:rsidRDefault="00E138DF">
            <w:pPr>
              <w:pStyle w:val="Normal"/>
            </w:pPr>
            <w:r>
              <w:t>7,45–7,35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01485D" w14:textId="77777777" w:rsidR="00E138DF" w:rsidRDefault="00E138DF">
            <w:pPr>
              <w:pStyle w:val="Normal"/>
            </w:pPr>
            <w:r>
              <w:t>7,35–7,30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A41D8E6" w14:textId="77777777" w:rsidR="00E138DF" w:rsidRDefault="00E138DF">
            <w:pPr>
              <w:pStyle w:val="Normal"/>
            </w:pPr>
            <w:r>
              <w:t>&lt;7,30</w:t>
            </w:r>
          </w:p>
        </w:tc>
      </w:tr>
      <w:tr w:rsidR="00E138DF" w14:paraId="5FF5ED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299E395" w14:textId="77777777" w:rsidR="00E138DF" w:rsidRDefault="00E138DF">
            <w:pPr>
              <w:pStyle w:val="Normal"/>
            </w:pPr>
            <w:r>
              <w:t>Дефицит оснований</w:t>
            </w:r>
            <w:r>
              <w:br/>
              <w:t>(ВЕ, мэкв/л)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BC90D0" w14:textId="77777777" w:rsidR="00E138DF" w:rsidRDefault="00E138DF">
            <w:pPr>
              <w:pStyle w:val="Normal"/>
            </w:pPr>
            <w:r>
              <w:t>Норма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10C528E" w14:textId="77777777" w:rsidR="00E138DF" w:rsidRDefault="00E138DF">
            <w:pPr>
              <w:pStyle w:val="Normal"/>
            </w:pPr>
            <w:r>
              <w:t>от –4 до –10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C7E702" w14:textId="77777777" w:rsidR="00E138DF" w:rsidRDefault="00E138DF">
            <w:pPr>
              <w:pStyle w:val="Normal"/>
            </w:pPr>
            <w:r>
              <w:t>от –10 до –18 и более</w:t>
            </w:r>
          </w:p>
        </w:tc>
      </w:tr>
      <w:tr w:rsidR="00E138DF" w14:paraId="7AC0B6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B476E7" w14:textId="77777777" w:rsidR="00E138DF" w:rsidRDefault="00E138DF">
            <w:pPr>
              <w:pStyle w:val="Normal"/>
            </w:pPr>
            <w:r>
              <w:t>Потери К</w:t>
            </w:r>
            <w:r>
              <w:rPr>
                <w:vertAlign w:val="superscript"/>
              </w:rPr>
              <w:t>+</w:t>
            </w:r>
            <w:r>
              <w:t>, Na</w:t>
            </w:r>
            <w:r>
              <w:rPr>
                <w:vertAlign w:val="superscript"/>
              </w:rPr>
              <w:t>+</w:t>
            </w:r>
            <w:r>
              <w:t>, Cl</w:t>
            </w:r>
            <w:r>
              <w:rPr>
                <w:vertAlign w:val="superscript"/>
              </w:rPr>
              <w:t>–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4280C4" w14:textId="77777777" w:rsidR="00E138DF" w:rsidRDefault="00E138DF">
            <w:pPr>
              <w:pStyle w:val="Normal"/>
            </w:pPr>
            <w:r>
              <w:t>Нет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52BAFE" w14:textId="77777777" w:rsidR="00E138DF" w:rsidRDefault="00E138DF">
            <w:pPr>
              <w:pStyle w:val="Normal"/>
            </w:pPr>
            <w:r>
              <w:t>Умеренные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DC694E" w14:textId="77777777" w:rsidR="00E138DF" w:rsidRDefault="00E138DF">
            <w:pPr>
              <w:pStyle w:val="Normal"/>
            </w:pPr>
            <w:r>
              <w:t>Выраженное обессоливание</w:t>
            </w:r>
          </w:p>
        </w:tc>
      </w:tr>
      <w:tr w:rsidR="00E138DF" w14:paraId="4E83F0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2C9616" w14:textId="77777777" w:rsidR="00E138DF" w:rsidRDefault="00E138DF">
            <w:pPr>
              <w:pStyle w:val="Normal"/>
            </w:pPr>
            <w:r>
              <w:t>Система гемостаза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86AD6D" w14:textId="77777777" w:rsidR="00E138DF" w:rsidRDefault="00E138DF">
            <w:pPr>
              <w:pStyle w:val="Normal"/>
            </w:pPr>
            <w:r>
              <w:t>Не изменена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B7E380" w14:textId="77777777" w:rsidR="00E138DF" w:rsidRDefault="00E138DF">
            <w:pPr>
              <w:pStyle w:val="Normal"/>
            </w:pPr>
            <w:r>
              <w:t>Слабые признаки ДВС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9F621F" w14:textId="77777777" w:rsidR="00E138DF" w:rsidRDefault="00E138DF">
            <w:pPr>
              <w:pStyle w:val="Normal"/>
            </w:pPr>
            <w:r>
              <w:t>ДВС, тромбоцитопения, др.</w:t>
            </w:r>
          </w:p>
        </w:tc>
      </w:tr>
      <w:tr w:rsidR="00E138DF" w14:paraId="4A736B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B671D3" w14:textId="77777777" w:rsidR="00E138DF" w:rsidRDefault="00E138DF">
            <w:pPr>
              <w:pStyle w:val="Normal"/>
            </w:pPr>
            <w:r>
              <w:t>Пищеварение,</w:t>
            </w:r>
            <w:r>
              <w:br/>
              <w:t>всасывание</w:t>
            </w:r>
          </w:p>
        </w:tc>
        <w:tc>
          <w:tcPr>
            <w:tcW w:w="1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398139" w14:textId="77777777" w:rsidR="00E138DF" w:rsidRDefault="00E138DF">
            <w:pPr>
              <w:pStyle w:val="Normal"/>
            </w:pPr>
            <w:r>
              <w:t>Не нарушены</w:t>
            </w:r>
          </w:p>
        </w:tc>
        <w:tc>
          <w:tcPr>
            <w:tcW w:w="23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1F2BD2" w14:textId="77777777" w:rsidR="00E138DF" w:rsidRDefault="00E138DF">
            <w:pPr>
              <w:pStyle w:val="Normal"/>
            </w:pPr>
            <w:r>
              <w:t>Нарушены у 50–75%</w:t>
            </w:r>
            <w:r>
              <w:br/>
              <w:t>больных</w:t>
            </w:r>
          </w:p>
        </w:tc>
        <w:tc>
          <w:tcPr>
            <w:tcW w:w="3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BE0CF0A" w14:textId="77777777" w:rsidR="00E138DF" w:rsidRDefault="00E138DF">
            <w:pPr>
              <w:pStyle w:val="Normal"/>
            </w:pPr>
            <w:r>
              <w:t>Нарушены у всех больных</w:t>
            </w:r>
          </w:p>
        </w:tc>
      </w:tr>
    </w:tbl>
    <w:p w14:paraId="48F00888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Реже (5–25% случаев) болезнь протекает в генерализованной форме. Тифоподобный вариант генерализованной формы сальмонеллеза клинически характеризуется высокой (до 39,5–40,0°С) постоянной или волнообразной лихорадкой, которая длится 10–15 дней и дольше, выраженной общей слабостью, адинамией, гепатолиенальным синдромом, брадикардией, лейкопенией. У части больных на коже живота, груди, реже – других участков тела появляется скудная розеолезная сыпь. Выражены сухость кожи и слизистых оболочек, нередко появляется субиктеричность склер и кожи. Заболевание начинается с гастроинтестинальных проявлений, которые длятся в течение 4–7 дней.</w:t>
      </w:r>
    </w:p>
    <w:p w14:paraId="3B842CFD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Тяжeлo протекает сальмонеллезный сепсис, особенно при формировании вторичных септических очагов в виде гнойного менингита и менингоэнцефалита, плевропневмонии, эндокардита, пиелонефрита, гепатохолецистита и других осложнений. Септикопиемический вариант генерализованной формы сальмонеллеза начинается с диспептических расстройств, на фоне и после исчезновения которых температура остается высокой (39–40°С и выше) в течение 10–15 дней и дольше, имеет интермиттирующий или гектический характер, сопровождается ежедневными ознобами и повышенной потливостью, миалгиями, артралгиями, а также клиникой вторичного септического очага. Определяются тахикардия, гипотония, нередко признаки эндомиокардита. При развитии сальмонеллезногo менингита появляются симптомы внутричерепной гипертензии (резкая головная боль, не приносящая облегчения мозговая рвота, напряжение большого родничка у детей), мышечные контрактуры (ригидность мышц затылка, симптомы Кернига, Брудзинского, Флатау и др.), воспалительные изменения спинномозговой жидкости (высокий нейтрофильный плеоцитоз, повышение содержания белка и др.).</w:t>
      </w:r>
    </w:p>
    <w:p w14:paraId="58BEA8BF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Кожа бледная, серая или зеленовато-желтого цвета, нередко с геморрагическими высыпаниями. Печень и селезенка увеличены. В крови отмечаются выраженный лейкоцитоз, резкий сдвиг формулы влево, токсическая зернистость лейкоцитов, анемия, тромбоцитопения, увеличенная СОЭ.</w:t>
      </w:r>
    </w:p>
    <w:p w14:paraId="255C8220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Среди людей и животных широко распространено бактерионосительство сальмонелл, которое может быть острым (от 15 дней до 3 месяцев), хроническим (до 6 месяцев и более) и транзиторным (1–2-кратное выделение сальмонелл при отрицательных результатах последующих исследований испражнений, отсутствие клинических проявлений болезни при обследовании и в предшествующие 3 месяца, отрицательные результаты серологических исследований в динамике).</w:t>
      </w:r>
    </w:p>
    <w:p w14:paraId="68F8DE30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У новорожденных и детей до года сальмонеллез в 10 раз чаще, чем у взрослых имеет тяжелое течение. У 30–33,0% больных развиваются септические формы заболевания с тяжелым токсикозом, эксикозом, синдромом полиорганной недостаточности, формированием вторичных септических очагов. Летальность при этом может достигать 30–90%.</w:t>
      </w:r>
    </w:p>
    <w:p w14:paraId="2E70CC1A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Диагноз сальмонеллеза ставится на основании эпидемиологических, клинических и лабораторных данных. Специфические методы лабораторной диагностики включают бактериологическое исследование испражнений, рвотных масс, мочи, крови, желчи, спинномозговой жидкости и подозрительных пищевых продуктов. Из серологических методов используется реакция непрямой гемагглютинации (РНГА), которая считается положительной в титрах 1:160 и выше при однократном исследовании или при нарастании титров антител в 4 раза и более в динамике заболевания. Более чувствительны и специфичны результаты иммунноферментного (ИФА) и радиоиммунного анализов, позволяющих обнаружить антитела у больных и антигены в пище и воде. С помощью ИФА определяют содержание и динамику нарастания IgM и IgG, что используется для дифференциальной диагностики бактерионосительства от субклинического течения саальмонеллеза. Диагностическое значение имеют также данные о повышении в 3–5 раз содержания IgА в копрофильтратах в РНГА.</w:t>
      </w:r>
    </w:p>
    <w:p w14:paraId="3852D42B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Дифференциальный диагноз сальмонеллеза с учетом полиморфности клинических проявлений болезни следует проводить с большой группой инфекционных, хирургических, неврологических, других заболеваний, с отравлениями химическими веществами, грибами, лекарствами, эндокринопатиями, дисферментозами, дисбактериозами и аллергическими диареями. </w:t>
      </w:r>
    </w:p>
    <w:p w14:paraId="5CA23D7A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b/>
        </w:rPr>
        <w:t>Пищевые токсикоинфекции</w:t>
      </w:r>
      <w:r>
        <w:t xml:space="preserve"> и </w:t>
      </w:r>
      <w:r>
        <w:rPr>
          <w:b/>
        </w:rPr>
        <w:t xml:space="preserve">интоксикации </w:t>
      </w:r>
      <w:r>
        <w:t xml:space="preserve">эшерихиозной, протейной, клебсиелезной, ацинетобактерной, галофилезной, стафилококковой этиологии отличаются более коротким инкубационным периодом, более частым развитием острого гастрита, менее выраженными синдромами интоксикации и дегидратации. Однако решающее значение в этиологической диагностике данной группы заболеваний имеют результаты бактериологического исследования испражнений, рвотных масс, а также серологических методов. </w:t>
      </w:r>
    </w:p>
    <w:p w14:paraId="571D529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В клинике </w:t>
      </w:r>
      <w:r>
        <w:rPr>
          <w:b/>
        </w:rPr>
        <w:t>шигеллезов</w:t>
      </w:r>
      <w:r>
        <w:t xml:space="preserve"> превалируют признаки воспаления слизистой оболочки дистального отдела толстой кишки – частый жидкий стул со слизью и кровью, резкие схваткообразные боли в животе, левой подвздошной области, ложные позывы на низ и тенезмы. При пальпации живота определяется спазм, уплотнение и боль по ходу толстой кишки, которые особенно выражены в области сигмовидной ее части. В копроцитограмме много лейкоцитов, эритроцитов и волокон непереваренной пищи. При ректороманоскопии выявляется катарально-геморрагический и эрозивно-язвенный проктосигмоидит. Дизентерия Григорьева-Шига протекает с резко выраженными синдромами интоксикации и гемоколитом. Диагноз подтверждается выделением возбудителей из кала, рвотных масс и данными серологических методов исследования. </w:t>
      </w:r>
    </w:p>
    <w:p w14:paraId="1AF5C8C4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b/>
        </w:rPr>
        <w:t>Холера</w:t>
      </w:r>
      <w:r>
        <w:t>, сравнительно крупные эпидемические вспышки которой нередко регистрируются в последние годы на юге Украины, как правило, начинается с поноса, а рвота появляется позже при прогрессировании болезни. Обильные испражнения (водянистые, типа рисового отвара) и многократная рвота фонтаном быстро приводят к обезвоживанию больного, развитию сухости кожи и слизистых оболочек, сильной жажде, афонии, гипокалиемии с резкой мышечной слабостью и генерализованными болезненными судорогами в мышцах конечностей, преренальной почечной недостаточности. Кожа теряет эластичность, становится цианотичной и холодной на ощупь. Для холеры не характерны озноб, высокая температура, спастическая боль в животе, увеличение печени и селезенки, метеоризм, патологические примеси в испражнениях в виде слизи и крови, спазм тонкой и толстой кишки. Однако, такие симптомы могут появляться при холере-микст: холера+дизентерия, холера+сальмонеллез и т.д. У больных холерой развиваются признаки гемоконцентрации – увеличение гематокрита, относительной плотности плазмы, количества эритроцитов, лейкоцитов. В постановке окончательного диагноза решающее значение имеют результаты исследования на вибриофлору испражнений, рвотных масс и дуоденального содержимого.</w:t>
      </w:r>
    </w:p>
    <w:p w14:paraId="6223C83D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b/>
        </w:rPr>
        <w:t>Кишечный иерсиниоз</w:t>
      </w:r>
      <w:r>
        <w:t xml:space="preserve"> развивается после употребления овощных салатов, протекает с интенсивной болью в животе, правой подвздошной области, генерализованной лимфаденопатией, обильной полиморфной пятнисто-папулезной сыпью на гиперемированном фоне, гепато-лиенальным синдромом, артралгиями и миалгиями. Болезнь нередко приобретает волнообразное течение с обострениями и рецидивами. </w:t>
      </w:r>
    </w:p>
    <w:p w14:paraId="11C5BF7A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Заболевание </w:t>
      </w:r>
      <w:r>
        <w:rPr>
          <w:b/>
        </w:rPr>
        <w:t>ботулизмом</w:t>
      </w:r>
      <w:r>
        <w:t xml:space="preserve"> связано с употреблением мясных, овощных или грибных консервов домашнего приготовления и вяленой рыбы. Наблюдаются кратковременные рвота и понос, сменяющиеся метеоризмом и задержкой стула, появляются нарушения зрения в виде диплопии, тумана перед глазами, невозможности читать мелкий шрифт. Также отмечаются резкие сухость во рту и мышечная слабость, нарушение глотания, речи на фоне нормальной температуры, отсутствия озноба и спастической боли в животе. Возможно развитие острой дыхательной недостаточности и миокардита.</w:t>
      </w:r>
    </w:p>
    <w:p w14:paraId="6A4F73B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b/>
        </w:rPr>
        <w:t>Вирусные диареи</w:t>
      </w:r>
      <w:r>
        <w:t xml:space="preserve"> (рота-, энтеро-, астро-, калици-, корона-, аденовирусные) чаще регистрируются зимой и весной, реже летом. От сальмонеллезов отличаются нередким наличием катара верхних дыхательных путей, ангины, конъюнктивита, лимфаденопатии, миалгий, поражения ЦНС (серозные менингиты), а также данными вирусологических и серологических исследований крови, испражнений, мочи, носоглоточных смывов и гемограммой.</w:t>
      </w:r>
    </w:p>
    <w:p w14:paraId="051685B4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При </w:t>
      </w:r>
      <w:r>
        <w:rPr>
          <w:b/>
        </w:rPr>
        <w:t>отравлении грибами</w:t>
      </w:r>
      <w:r>
        <w:t xml:space="preserve"> наблюдается короткий (1–2 ч) инкубационный период, бурное начало без продрома, интенсивная схваткообразная боль в животе, тошнота, рвота, частый водянистый стул. Реже возникают явления гемоколита, повышенные потливость и слюнотечение, бред, галлюцинации, коллапс, поражение печени, почек с развитием их недостаточности, гемолиз на фоне нормальной температуры и отсутствия синдрома интоксикации.</w:t>
      </w:r>
    </w:p>
    <w:p w14:paraId="4C13FE8A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b/>
        </w:rPr>
        <w:t>Отравление солями</w:t>
      </w:r>
      <w:r>
        <w:t xml:space="preserve"> мышьяка, ртути, таллия и других тяжелых металлов сопровождается упорной рвотой, сильной жаждой, сухостью и металлическим привкусом во рту, резкой болью в эпигастрии, гиперемией кожи, отеком лица, конъюнктивитом, периферическими парезами и параличами, коллапсом, поражением печени и почек. Иногда развивается кома. Диагноз уточняют токсикологическим исследованием крови, испражнений и рвотных масс больного. </w:t>
      </w:r>
    </w:p>
    <w:p w14:paraId="3618DE28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В клинике </w:t>
      </w:r>
      <w:r>
        <w:rPr>
          <w:b/>
        </w:rPr>
        <w:t xml:space="preserve">острого аппендицита </w:t>
      </w:r>
      <w:r>
        <w:t xml:space="preserve">преобладает боль в животе постоянного характера, локализующаяся чаще в правой подвздошной области. Отмечаются локальное напряжение мышц, положительные аппендикулярные симптомы, признаки раздражения брюшины, в крови – высокий нейтрофильный лейкоцитоз. </w:t>
      </w:r>
    </w:p>
    <w:p w14:paraId="730F7F31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b/>
        </w:rPr>
        <w:t>Острая кишечная непроходимость</w:t>
      </w:r>
      <w:r>
        <w:t xml:space="preserve">, в отличие от сальмонеллеза, развивается внезапно с сильных приступообразных болей в животе, сопровождается неукротимой рвотой, задержкой стула и газов, известными рентгенологическими признаками. </w:t>
      </w:r>
    </w:p>
    <w:p w14:paraId="348F72C3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rPr>
          <w:b/>
        </w:rPr>
        <w:t>Тромбоз брыжеечных сосудов</w:t>
      </w:r>
      <w:r>
        <w:t xml:space="preserve"> развивается обычно у лиц старшего возраста, страдающих атеросклерозом, ревматизмом, тромбофлебитом, другой хронической сердечно-сосудистой патологией. Начинается остро, протекает с сильнейшей болью в животе, гемоколитом, динамической кишечной непроходимостью, вздутием живота, высоким лейкоцитозом при нормальной вначале температуре и отсутствии синдрома интоксикации. </w:t>
      </w:r>
    </w:p>
    <w:p w14:paraId="7E327555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Иногда возникает необходимость дифференцировать сальмонеллез с абдоминальным вариантом </w:t>
      </w:r>
      <w:r>
        <w:rPr>
          <w:b/>
        </w:rPr>
        <w:t>инфаркта миокарда</w:t>
      </w:r>
      <w:r>
        <w:t>. В последнем случае интенсивные боли в эпигастрии и часто одновременно за грудиной возникают остро, обычно после эмоциональных и физических нагрузок у лиц, страдающих гипертонической болезнью, атеросклерозом, ИБС, сопровождаются страхом смерти. Температура нормальная, интоксикации нет. Диагноз уточняется с помощью ЭКГ и других электрофизиологических исследований.</w:t>
      </w:r>
    </w:p>
    <w:p w14:paraId="70CC3D8E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 xml:space="preserve">Госпитализация больных салмонеллезом обязательна в следующих случаях: </w:t>
      </w:r>
    </w:p>
    <w:p w14:paraId="66625E34" w14:textId="77777777" w:rsidR="00E138DF" w:rsidRDefault="00E138DF" w:rsidP="00B52B59">
      <w:pPr>
        <w:pStyle w:val="Normal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наличие признаков генерализованного течения; </w:t>
      </w:r>
    </w:p>
    <w:p w14:paraId="66C4E733" w14:textId="77777777" w:rsidR="00E138DF" w:rsidRDefault="00E138DF" w:rsidP="00B52B59">
      <w:pPr>
        <w:pStyle w:val="Normal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тяжелое и среднетяжелое течение; </w:t>
      </w:r>
    </w:p>
    <w:p w14:paraId="2AE68877" w14:textId="77777777" w:rsidR="00E138DF" w:rsidRDefault="00E138DF" w:rsidP="00B52B59">
      <w:pPr>
        <w:pStyle w:val="Normal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легкое течение, но на неблагоприятном преморбидном фоне (сопутствующая патология); </w:t>
      </w:r>
    </w:p>
    <w:p w14:paraId="690DF726" w14:textId="77777777" w:rsidR="00E138DF" w:rsidRDefault="00E138DF" w:rsidP="00B52B59">
      <w:pPr>
        <w:pStyle w:val="Normal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новорожденные и дети до года; </w:t>
      </w:r>
    </w:p>
    <w:p w14:paraId="57CF564D" w14:textId="77777777" w:rsidR="00E138DF" w:rsidRDefault="00E138DF" w:rsidP="00B52B59">
      <w:pPr>
        <w:pStyle w:val="Normal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дети любого возраста, если заболевание начинается с синдрома пищевой токсикоинфекции; </w:t>
      </w:r>
    </w:p>
    <w:p w14:paraId="482EBE95" w14:textId="77777777" w:rsidR="00E138DF" w:rsidRDefault="00E138DF" w:rsidP="00B52B59">
      <w:pPr>
        <w:pStyle w:val="Normal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работники пищевых предприятий, ясель, детских садов и другие представители декретированных контингентов; </w:t>
      </w:r>
    </w:p>
    <w:p w14:paraId="44524893" w14:textId="77777777" w:rsidR="00E138DF" w:rsidRDefault="00E138DF" w:rsidP="00B52B59">
      <w:pPr>
        <w:pStyle w:val="Normal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наличие эпидпоказаний (неблагоприятные жилищные условия, проживание в общежитии). </w:t>
      </w:r>
    </w:p>
    <w:p w14:paraId="23B6FF34" w14:textId="77777777" w:rsidR="00E138DF" w:rsidRDefault="00E138DF" w:rsidP="00B52B59">
      <w:pPr>
        <w:pStyle w:val="Normal"/>
        <w:spacing w:before="0" w:after="0"/>
        <w:ind w:firstLine="709"/>
        <w:jc w:val="both"/>
      </w:pPr>
      <w:r>
        <w:t>В связи с тем, что под клинической маской сальмонеллезов могут протекать заболевания, требующие срочного хирургического лечения, оставлять на дому можно только больных с абсолютно ясным диагнозом.</w:t>
      </w:r>
    </w:p>
    <w:p w14:paraId="3E693286" w14:textId="77777777" w:rsidR="00E138DF" w:rsidRDefault="00E138DF">
      <w:pPr>
        <w:pStyle w:val="Normal"/>
      </w:pPr>
    </w:p>
    <w:p w14:paraId="64C42734" w14:textId="77777777" w:rsidR="00E138DF" w:rsidRDefault="00E138DF">
      <w:pPr>
        <w:pStyle w:val="Normal"/>
      </w:pPr>
    </w:p>
    <w:p w14:paraId="5420DEA4" w14:textId="77777777" w:rsidR="00E138DF" w:rsidRDefault="00E138DF">
      <w:pPr>
        <w:pStyle w:val="Normal"/>
      </w:pPr>
    </w:p>
    <w:p w14:paraId="0C0A10E0" w14:textId="77777777" w:rsidR="00E138DF" w:rsidRDefault="00E138DF">
      <w:pPr>
        <w:pStyle w:val="Normal"/>
      </w:pPr>
    </w:p>
    <w:p w14:paraId="793605F0" w14:textId="77777777" w:rsidR="00E138DF" w:rsidRDefault="00E138DF">
      <w:pPr>
        <w:pStyle w:val="H3"/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7665"/>
      </w:tblGrid>
      <w:tr w:rsidR="00E138DF" w14:paraId="0DB7A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/>
          <w:jc w:val="center"/>
        </w:trPr>
        <w:tc>
          <w:tcPr>
            <w:tcW w:w="1695" w:type="dxa"/>
          </w:tcPr>
          <w:p w14:paraId="288EBA9B" w14:textId="6BBA938B" w:rsidR="00E138DF" w:rsidRDefault="00E138DF">
            <w:pPr>
              <w:pStyle w:val="Normal"/>
              <w:jc w:val="center"/>
            </w:pPr>
            <w:r>
              <w:t>Подготовил</w:t>
            </w:r>
            <w:r>
              <w:fldChar w:fldCharType="begin"/>
            </w:r>
            <w:r w:rsidR="00B23263">
              <w:instrText xml:space="preserve"> INCLUDEPICTURE "C:\\..\\..\\..\\..\\..\\Documents and Settings\\USER\\Local Settings\\Temp\\Photos\\vozi_wife.GIF" \* MERGEFORMAT \d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665" w:type="dxa"/>
          </w:tcPr>
          <w:p w14:paraId="06998DE0" w14:textId="77777777" w:rsidR="00E138DF" w:rsidRDefault="00E138DF">
            <w:pPr>
              <w:pStyle w:val="Normal"/>
              <w:jc w:val="center"/>
            </w:pPr>
            <w:r>
              <w:rPr>
                <w:rStyle w:val="Strong"/>
              </w:rPr>
              <w:t>Калинин Николай Евгеньевич,</w:t>
            </w:r>
            <w:r>
              <w:t xml:space="preserve"> бывший врач</w:t>
            </w:r>
            <w:r>
              <w:br/>
              <w:t>Псковского городского центра госсанэпиднадзора.</w:t>
            </w:r>
          </w:p>
          <w:p w14:paraId="4BE47B61" w14:textId="77777777" w:rsidR="00E138DF" w:rsidRDefault="00E138DF"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7" w:history="1">
              <w:r>
                <w:rPr>
                  <w:rStyle w:val="a5"/>
                </w:rPr>
                <w:t>nikola@ellink.ru</w:t>
              </w:r>
            </w:hyperlink>
          </w:p>
          <w:p w14:paraId="175E0A23" w14:textId="77777777" w:rsidR="00E138DF" w:rsidRDefault="00E138DF">
            <w:pPr>
              <w:pStyle w:val="Normal"/>
              <w:jc w:val="center"/>
              <w:rPr>
                <w:lang w:val="en-US"/>
              </w:rPr>
            </w:pPr>
          </w:p>
        </w:tc>
      </w:tr>
      <w:tr w:rsidR="00E138DF" w14:paraId="407F7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/>
          <w:jc w:val="center"/>
        </w:trPr>
        <w:tc>
          <w:tcPr>
            <w:tcW w:w="1695" w:type="dxa"/>
          </w:tcPr>
          <w:p w14:paraId="59CDAA2A" w14:textId="77777777" w:rsidR="00E138DF" w:rsidRDefault="00E138DF">
            <w:pPr>
              <w:pStyle w:val="Normal"/>
              <w:jc w:val="center"/>
            </w:pPr>
            <w:r>
              <w:t>Автор информации</w:t>
            </w:r>
          </w:p>
        </w:tc>
        <w:tc>
          <w:tcPr>
            <w:tcW w:w="7665" w:type="dxa"/>
          </w:tcPr>
          <w:p w14:paraId="4206007F" w14:textId="77777777" w:rsidR="00E138DF" w:rsidRDefault="00E138DF">
            <w:pPr>
              <w:pStyle w:val="Normal"/>
            </w:pPr>
            <w:r>
              <w:rPr>
                <w:rStyle w:val="Strong"/>
              </w:rPr>
              <w:t>Гебеш Василий Васильевич</w:t>
            </w:r>
            <w:r>
              <w:t>, профессор</w:t>
            </w:r>
            <w:r>
              <w:br/>
              <w:t xml:space="preserve">Заведующий кафедрой инфекционных болезней Киевской медицинской академии последипломного образования </w:t>
            </w:r>
          </w:p>
          <w:p w14:paraId="7B4DEFE9" w14:textId="77777777" w:rsidR="00E138DF" w:rsidRDefault="00E138DF">
            <w:pPr>
              <w:pStyle w:val="Normal"/>
            </w:pPr>
          </w:p>
          <w:p w14:paraId="77F9AD6F" w14:textId="77777777" w:rsidR="00E138DF" w:rsidRPr="00B52B59" w:rsidRDefault="00E138DF">
            <w:pPr>
              <w:pStyle w:val="Normal"/>
              <w:jc w:val="center"/>
            </w:pPr>
          </w:p>
        </w:tc>
      </w:tr>
    </w:tbl>
    <w:p w14:paraId="75BE3B45" w14:textId="77777777" w:rsidR="00E138DF" w:rsidRDefault="00E138DF" w:rsidP="00B52B59">
      <w:pPr>
        <w:pStyle w:val="H3"/>
        <w:jc w:val="right"/>
      </w:pPr>
    </w:p>
    <w:sectPr w:rsidR="00E138DF" w:rsidSect="00B52B59">
      <w:footerReference w:type="default" r:id="rId8"/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915C" w14:textId="77777777" w:rsidR="00551135" w:rsidRDefault="00551135">
      <w:r>
        <w:separator/>
      </w:r>
    </w:p>
  </w:endnote>
  <w:endnote w:type="continuationSeparator" w:id="0">
    <w:p w14:paraId="69102E48" w14:textId="77777777" w:rsidR="00551135" w:rsidRDefault="0055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A48F" w14:textId="77777777" w:rsidR="00E138DF" w:rsidRDefault="00E138D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74E4" w14:textId="77777777" w:rsidR="00551135" w:rsidRDefault="00551135">
      <w:r>
        <w:separator/>
      </w:r>
    </w:p>
  </w:footnote>
  <w:footnote w:type="continuationSeparator" w:id="0">
    <w:p w14:paraId="74F2C3EF" w14:textId="77777777" w:rsidR="00551135" w:rsidRDefault="0055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A"/>
    <w:rsid w:val="001703BA"/>
    <w:rsid w:val="003427A9"/>
    <w:rsid w:val="00551135"/>
    <w:rsid w:val="00B23263"/>
    <w:rsid w:val="00B52B59"/>
    <w:rsid w:val="00E1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A0F82"/>
  <w15:chartTrackingRefBased/>
  <w15:docId w15:val="{DF639762-A6AC-4A65-BF6E-423B44FA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customStyle="1" w:styleId="Strong">
    <w:name w:val="Strong"/>
    <w:rPr>
      <w:b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@elli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Сальмонеллезы</vt:lpstr>
    </vt:vector>
  </TitlesOfParts>
  <Company> </Company>
  <LinksUpToDate>false</LinksUpToDate>
  <CharactersWithSpaces>24309</CharactersWithSpaces>
  <SharedDoc>false</SharedDoc>
  <HLinks>
    <vt:vector size="6" baseType="variant">
      <vt:variant>
        <vt:i4>5701732</vt:i4>
      </vt:variant>
      <vt:variant>
        <vt:i4>3</vt:i4>
      </vt:variant>
      <vt:variant>
        <vt:i4>0</vt:i4>
      </vt:variant>
      <vt:variant>
        <vt:i4>5</vt:i4>
      </vt:variant>
      <vt:variant>
        <vt:lpwstr>mailto:nikola@ellink.ru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Сальмонеллезы</dc:title>
  <dc:subject/>
  <dc:creator>Kalinin N.</dc:creator>
  <cp:keywords/>
  <cp:lastModifiedBy>Igor</cp:lastModifiedBy>
  <cp:revision>2</cp:revision>
  <dcterms:created xsi:type="dcterms:W3CDTF">2024-11-14T18:26:00Z</dcterms:created>
  <dcterms:modified xsi:type="dcterms:W3CDTF">2024-11-14T18:26:00Z</dcterms:modified>
</cp:coreProperties>
</file>