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1979">
      <w:pPr>
        <w:pStyle w:val="a4"/>
        <w:ind w:firstLine="708"/>
        <w:jc w:val="both"/>
      </w:pPr>
      <w:bookmarkStart w:id="0" w:name="_GoBack"/>
      <w:bookmarkEnd w:id="0"/>
      <w:r>
        <w:t xml:space="preserve">Синдром </w:t>
      </w:r>
      <w:proofErr w:type="spellStart"/>
      <w:r>
        <w:t>Марфана</w:t>
      </w:r>
      <w:proofErr w:type="spellEnd"/>
      <w:r>
        <w:t xml:space="preserve"> - наследственное заболевание соединительной ткани с вовлечением скелетно-мышечной и сердечно-сосудистой систем и патологией глаз. Впервые описано Вильямсом в 1876 г.</w:t>
      </w:r>
    </w:p>
    <w:p w:rsidR="00000000" w:rsidRDefault="00E31979">
      <w:pPr>
        <w:pStyle w:val="a4"/>
        <w:ind w:firstLine="708"/>
        <w:jc w:val="both"/>
      </w:pPr>
    </w:p>
    <w:p w:rsidR="00000000" w:rsidRDefault="00E31979">
      <w:pPr>
        <w:pStyle w:val="a4"/>
        <w:ind w:firstLine="708"/>
        <w:jc w:val="both"/>
      </w:pPr>
      <w:r>
        <w:t xml:space="preserve">Синдром </w:t>
      </w:r>
      <w:proofErr w:type="spellStart"/>
      <w:r>
        <w:t>Марфана</w:t>
      </w:r>
      <w:proofErr w:type="spellEnd"/>
      <w:r>
        <w:t xml:space="preserve"> (CM) - один из наиболее частых (5:100000) наследственных </w:t>
      </w:r>
      <w:r>
        <w:t xml:space="preserve">синдромов </w:t>
      </w:r>
      <w:proofErr w:type="spellStart"/>
      <w:r>
        <w:t>дизгистогенеза</w:t>
      </w:r>
      <w:proofErr w:type="spellEnd"/>
      <w:r>
        <w:t xml:space="preserve"> соединительной ткани. </w:t>
      </w:r>
      <w:r>
        <w:rPr>
          <w:szCs w:val="20"/>
        </w:rPr>
        <w:t xml:space="preserve">Тип наследования - аутосомно-доминантный, с высокой </w:t>
      </w:r>
      <w:proofErr w:type="spellStart"/>
      <w:r>
        <w:rPr>
          <w:szCs w:val="20"/>
        </w:rPr>
        <w:t>пенетрантностью</w:t>
      </w:r>
      <w:proofErr w:type="spellEnd"/>
      <w:r>
        <w:rPr>
          <w:szCs w:val="20"/>
        </w:rPr>
        <w:t xml:space="preserve"> гена. Частота = 1 : 25 000.</w:t>
      </w:r>
    </w:p>
    <w:p w:rsidR="00000000" w:rsidRDefault="00E31979">
      <w:pPr>
        <w:pStyle w:val="a4"/>
        <w:jc w:val="both"/>
        <w:rPr>
          <w:szCs w:val="20"/>
        </w:rPr>
      </w:pPr>
      <w:r>
        <w:t xml:space="preserve">Все доказанные случаи синдрома </w:t>
      </w:r>
      <w:proofErr w:type="spellStart"/>
      <w:r>
        <w:t>Марфана</w:t>
      </w:r>
      <w:proofErr w:type="spellEnd"/>
      <w:r>
        <w:t xml:space="preserve"> - следствие мутации гена фибриллина-1. </w:t>
      </w:r>
      <w:r>
        <w:rPr>
          <w:szCs w:val="20"/>
        </w:rPr>
        <w:t xml:space="preserve">Локализация гена - в длинном плече </w:t>
      </w:r>
      <w:r>
        <w:rPr>
          <w:szCs w:val="20"/>
        </w:rPr>
        <w:t>15 хромосомы, поле 21 (</w:t>
      </w:r>
      <w:r>
        <w:t>15ql5-q21.3)</w:t>
      </w:r>
      <w:r>
        <w:rPr>
          <w:szCs w:val="20"/>
        </w:rPr>
        <w:t xml:space="preserve">. Суть мутации </w:t>
      </w:r>
      <w:r>
        <w:rPr>
          <w:szCs w:val="20"/>
        </w:rPr>
        <w:sym w:font="Symbol" w:char="F02D"/>
      </w:r>
      <w:r>
        <w:rPr>
          <w:szCs w:val="20"/>
        </w:rPr>
        <w:t xml:space="preserve"> замена в белке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пролина</w:t>
      </w:r>
      <w:proofErr w:type="spellEnd"/>
      <w:r>
        <w:rPr>
          <w:szCs w:val="20"/>
        </w:rPr>
        <w:t xml:space="preserve"> на аргинин. В результате происходит повышение синтеза коллагена типа 3 и уменьшение содержания коллагена типа 1, в норме соотношение коллаген-1:коллаген-3=6:4; а при СМ=3</w:t>
      </w:r>
      <w:r>
        <w:rPr>
          <w:szCs w:val="20"/>
        </w:rPr>
        <w:t>:7.</w:t>
      </w:r>
    </w:p>
    <w:p w:rsidR="00000000" w:rsidRDefault="00E31979">
      <w:pPr>
        <w:pStyle w:val="a4"/>
        <w:jc w:val="both"/>
      </w:pPr>
      <w:r>
        <w:t xml:space="preserve">Выявлено множество различных мутаций, что объясняет значительную клиническую </w:t>
      </w:r>
      <w:proofErr w:type="spellStart"/>
      <w:r>
        <w:t>полиморфность</w:t>
      </w:r>
      <w:proofErr w:type="spellEnd"/>
      <w:r>
        <w:t xml:space="preserve"> заболевания. Свыше 15% случаев </w:t>
      </w:r>
      <w:r>
        <w:rPr>
          <w:lang w:val="en-US"/>
        </w:rPr>
        <w:sym w:font="Symbol" w:char="F02D"/>
      </w:r>
      <w:r>
        <w:t xml:space="preserve"> следствие новых мутаций.</w:t>
      </w:r>
    </w:p>
    <w:p w:rsidR="00000000" w:rsidRDefault="00E31979">
      <w:pPr>
        <w:pStyle w:val="a4"/>
        <w:jc w:val="both"/>
      </w:pPr>
      <w:proofErr w:type="spellStart"/>
      <w:r>
        <w:t>Атипичные</w:t>
      </w:r>
      <w:proofErr w:type="spellEnd"/>
      <w:r>
        <w:t xml:space="preserve"> формы синдрома </w:t>
      </w:r>
      <w:proofErr w:type="spellStart"/>
      <w:r>
        <w:t>Марфана</w:t>
      </w:r>
      <w:proofErr w:type="spellEnd"/>
      <w:r>
        <w:t xml:space="preserve"> могут быть вызваны мутациями в других генах, например в  гене белка, т</w:t>
      </w:r>
      <w:r>
        <w:t xml:space="preserve">рансформирующего фактор роста </w:t>
      </w:r>
      <w:proofErr w:type="spellStart"/>
      <w:r>
        <w:t>р</w:t>
      </w:r>
      <w:proofErr w:type="spellEnd"/>
      <w:r>
        <w:t xml:space="preserve"> (14q24). Частота - 1 случай на 10 000-20 000. </w:t>
      </w: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rPr>
          <w:b/>
          <w:bCs/>
        </w:rPr>
      </w:pPr>
      <w:r>
        <w:rPr>
          <w:b/>
          <w:bCs/>
        </w:rPr>
        <w:t>Клиническая картина</w:t>
      </w:r>
    </w:p>
    <w:p w:rsidR="00000000" w:rsidRDefault="00E31979">
      <w:pPr>
        <w:pStyle w:val="a4"/>
        <w:jc w:val="both"/>
      </w:pPr>
      <w:r>
        <w:t>Скелетно-мышечная система:</w:t>
      </w:r>
    </w:p>
    <w:p w:rsidR="00000000" w:rsidRDefault="00E31979">
      <w:pPr>
        <w:pStyle w:val="a4"/>
        <w:ind w:left="708"/>
        <w:jc w:val="both"/>
      </w:pPr>
      <w:r>
        <w:t>• Высокий рост</w:t>
      </w:r>
    </w:p>
    <w:p w:rsidR="00000000" w:rsidRDefault="00E31979">
      <w:pPr>
        <w:pStyle w:val="a4"/>
        <w:ind w:left="708"/>
        <w:jc w:val="both"/>
      </w:pPr>
      <w:r>
        <w:t>• Астеническое телосложение (длина конечностей не пропорциональна длине туловища)</w:t>
      </w:r>
    </w:p>
    <w:p w:rsidR="00000000" w:rsidRDefault="00E31979">
      <w:pPr>
        <w:pStyle w:val="a4"/>
        <w:ind w:left="708"/>
        <w:jc w:val="both"/>
      </w:pPr>
      <w:r>
        <w:t xml:space="preserve">• </w:t>
      </w:r>
      <w:proofErr w:type="spellStart"/>
      <w:r>
        <w:t>Арахнодактилия</w:t>
      </w:r>
      <w:proofErr w:type="spellEnd"/>
      <w:r>
        <w:t xml:space="preserve"> (длинные тонкие</w:t>
      </w:r>
      <w:r>
        <w:t xml:space="preserve"> пальцы)</w:t>
      </w:r>
    </w:p>
    <w:p w:rsidR="00000000" w:rsidRDefault="00E31979">
      <w:pPr>
        <w:pStyle w:val="a4"/>
        <w:ind w:left="708"/>
        <w:jc w:val="both"/>
      </w:pPr>
      <w:r>
        <w:t>• Деформация грудной клетки</w:t>
      </w:r>
    </w:p>
    <w:p w:rsidR="00000000" w:rsidRDefault="00E31979">
      <w:pPr>
        <w:pStyle w:val="a4"/>
        <w:ind w:left="708"/>
        <w:jc w:val="both"/>
      </w:pPr>
      <w:r>
        <w:t xml:space="preserve">• Высокое </w:t>
      </w:r>
      <w:proofErr w:type="spellStart"/>
      <w:r>
        <w:t>арковидное</w:t>
      </w:r>
      <w:proofErr w:type="spellEnd"/>
      <w:r>
        <w:t xml:space="preserve"> нёбо</w:t>
      </w:r>
    </w:p>
    <w:p w:rsidR="00000000" w:rsidRDefault="00E31979">
      <w:pPr>
        <w:pStyle w:val="a4"/>
        <w:ind w:left="708"/>
        <w:jc w:val="both"/>
      </w:pPr>
      <w:r>
        <w:t xml:space="preserve">• </w:t>
      </w:r>
      <w:proofErr w:type="spellStart"/>
      <w:r>
        <w:t>Кифосколиоз</w:t>
      </w:r>
      <w:proofErr w:type="spellEnd"/>
    </w:p>
    <w:p w:rsidR="00000000" w:rsidRDefault="00E31979">
      <w:pPr>
        <w:pStyle w:val="a4"/>
        <w:ind w:left="708"/>
        <w:jc w:val="both"/>
      </w:pPr>
      <w:r>
        <w:t xml:space="preserve">• Слабость связочного аппарата. </w:t>
      </w: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  <w:r>
        <w:t>Сердечно-сосудистая система:</w:t>
      </w:r>
    </w:p>
    <w:p w:rsidR="00000000" w:rsidRDefault="00E31979">
      <w:pPr>
        <w:pStyle w:val="a4"/>
        <w:ind w:left="708"/>
        <w:jc w:val="both"/>
      </w:pPr>
      <w:r>
        <w:t xml:space="preserve">• </w:t>
      </w:r>
      <w:proofErr w:type="spellStart"/>
      <w:r>
        <w:t>Дилатация</w:t>
      </w:r>
      <w:proofErr w:type="spellEnd"/>
      <w:r>
        <w:t xml:space="preserve"> корня аорты</w:t>
      </w:r>
    </w:p>
    <w:p w:rsidR="00000000" w:rsidRDefault="00E31979">
      <w:pPr>
        <w:pStyle w:val="a4"/>
        <w:ind w:left="708"/>
        <w:jc w:val="both"/>
      </w:pPr>
      <w:r>
        <w:t xml:space="preserve">• Аортальная </w:t>
      </w:r>
      <w:proofErr w:type="spellStart"/>
      <w:r>
        <w:t>регургитация</w:t>
      </w:r>
      <w:proofErr w:type="spellEnd"/>
    </w:p>
    <w:p w:rsidR="00000000" w:rsidRDefault="00E31979">
      <w:pPr>
        <w:pStyle w:val="a4"/>
        <w:ind w:left="708"/>
        <w:jc w:val="both"/>
      </w:pPr>
      <w:r>
        <w:t>• Расслаивающая аневризма аорты</w:t>
      </w:r>
    </w:p>
    <w:p w:rsidR="00000000" w:rsidRDefault="00E31979">
      <w:pPr>
        <w:pStyle w:val="a4"/>
        <w:ind w:left="708"/>
        <w:jc w:val="both"/>
      </w:pPr>
      <w:r>
        <w:t xml:space="preserve">• </w:t>
      </w:r>
      <w:proofErr w:type="spellStart"/>
      <w:r>
        <w:t>Пролапс</w:t>
      </w:r>
      <w:proofErr w:type="spellEnd"/>
      <w:r>
        <w:t xml:space="preserve"> </w:t>
      </w:r>
      <w:proofErr w:type="spellStart"/>
      <w:r>
        <w:t>митрального</w:t>
      </w:r>
      <w:proofErr w:type="spellEnd"/>
      <w:r>
        <w:t xml:space="preserve"> клапана</w:t>
      </w:r>
    </w:p>
    <w:p w:rsidR="00000000" w:rsidRDefault="00E31979">
      <w:pPr>
        <w:pStyle w:val="a4"/>
        <w:ind w:left="708"/>
        <w:jc w:val="both"/>
      </w:pPr>
      <w:r>
        <w:t xml:space="preserve">• </w:t>
      </w:r>
      <w:proofErr w:type="spellStart"/>
      <w:r>
        <w:t>Ре</w:t>
      </w:r>
      <w:r>
        <w:t>гургитация</w:t>
      </w:r>
      <w:proofErr w:type="spellEnd"/>
      <w:r>
        <w:t xml:space="preserve"> крови при недостаточности митрального клапана. </w:t>
      </w:r>
    </w:p>
    <w:p w:rsidR="00000000" w:rsidRDefault="00E31979">
      <w:pPr>
        <w:pStyle w:val="a4"/>
        <w:jc w:val="both"/>
      </w:pPr>
      <w:r>
        <w:lastRenderedPageBreak/>
        <w:t>Глаза:</w:t>
      </w:r>
    </w:p>
    <w:p w:rsidR="00000000" w:rsidRDefault="00E31979">
      <w:pPr>
        <w:pStyle w:val="a4"/>
        <w:ind w:left="708"/>
        <w:jc w:val="both"/>
      </w:pPr>
      <w:r>
        <w:t xml:space="preserve">• </w:t>
      </w:r>
      <w:proofErr w:type="spellStart"/>
      <w:r>
        <w:t>Иридоденез</w:t>
      </w:r>
      <w:proofErr w:type="spellEnd"/>
      <w:r>
        <w:t xml:space="preserve"> (дрожание хрусталика вследствие слабости </w:t>
      </w:r>
      <w:proofErr w:type="spellStart"/>
      <w:r>
        <w:t>цинновой</w:t>
      </w:r>
      <w:proofErr w:type="spellEnd"/>
      <w:r>
        <w:t xml:space="preserve"> связки)</w:t>
      </w:r>
    </w:p>
    <w:p w:rsidR="00000000" w:rsidRDefault="00E31979">
      <w:pPr>
        <w:pStyle w:val="a4"/>
        <w:ind w:left="708"/>
        <w:jc w:val="both"/>
      </w:pPr>
      <w:r>
        <w:t>• Подвывих хрусталика</w:t>
      </w:r>
    </w:p>
    <w:p w:rsidR="00000000" w:rsidRDefault="00E31979">
      <w:pPr>
        <w:pStyle w:val="a4"/>
        <w:ind w:left="708"/>
        <w:jc w:val="both"/>
      </w:pPr>
      <w:r>
        <w:t>• Отслойка сетчатки</w:t>
      </w:r>
    </w:p>
    <w:p w:rsidR="00000000" w:rsidRDefault="00E31979">
      <w:pPr>
        <w:pStyle w:val="a4"/>
        <w:ind w:left="708"/>
        <w:jc w:val="both"/>
      </w:pPr>
      <w:r>
        <w:t xml:space="preserve">• Близорукость высокой степени </w:t>
      </w: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  <w:r>
        <w:t>Другие симптомы (редко):</w:t>
      </w:r>
    </w:p>
    <w:p w:rsidR="00000000" w:rsidRDefault="00E31979">
      <w:pPr>
        <w:pStyle w:val="a4"/>
        <w:ind w:left="708"/>
        <w:jc w:val="both"/>
      </w:pPr>
      <w:r>
        <w:t>• Геморрагический с</w:t>
      </w:r>
      <w:r>
        <w:t>индром</w:t>
      </w:r>
    </w:p>
    <w:p w:rsidR="00000000" w:rsidRDefault="00E31979">
      <w:pPr>
        <w:pStyle w:val="a4"/>
        <w:ind w:left="708"/>
        <w:jc w:val="both"/>
      </w:pPr>
      <w:r>
        <w:t xml:space="preserve">• Спонтанный пневмоторакс </w:t>
      </w: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  <w:rPr>
          <w:b/>
          <w:bCs/>
        </w:rPr>
      </w:pPr>
      <w:r>
        <w:rPr>
          <w:b/>
          <w:bCs/>
        </w:rPr>
        <w:t>Дифференциальный диагноз</w:t>
      </w:r>
    </w:p>
    <w:p w:rsidR="00000000" w:rsidRDefault="00E31979">
      <w:pPr>
        <w:pStyle w:val="a4"/>
        <w:jc w:val="both"/>
        <w:rPr>
          <w:szCs w:val="20"/>
        </w:rPr>
      </w:pPr>
      <w:r>
        <w:rPr>
          <w:szCs w:val="20"/>
        </w:rPr>
        <w:t xml:space="preserve">Существует много заболеваний, имеющих клиническую картину аналогичную синдрому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>, но некоторые из них могут быть дифференцированы по клиническим или биохимическим признакам.</w:t>
      </w:r>
    </w:p>
    <w:p w:rsidR="00000000" w:rsidRDefault="00E31979">
      <w:pPr>
        <w:pStyle w:val="a4"/>
        <w:jc w:val="both"/>
      </w:pPr>
      <w:r>
        <w:t xml:space="preserve">• </w:t>
      </w:r>
      <w:proofErr w:type="spellStart"/>
      <w:r>
        <w:t>Гомоцистинурия</w:t>
      </w:r>
      <w:proofErr w:type="spellEnd"/>
      <w:r>
        <w:t xml:space="preserve"> - клиника болезни </w:t>
      </w:r>
      <w:proofErr w:type="spellStart"/>
      <w:r>
        <w:t>Марфана</w:t>
      </w:r>
      <w:proofErr w:type="spellEnd"/>
      <w:r>
        <w:t xml:space="preserve">, умственная отсталость, в моче - </w:t>
      </w:r>
      <w:proofErr w:type="spellStart"/>
      <w:r>
        <w:t>гиперэкскреция</w:t>
      </w:r>
      <w:proofErr w:type="spellEnd"/>
      <w:r>
        <w:t xml:space="preserve"> </w:t>
      </w:r>
      <w:proofErr w:type="spellStart"/>
      <w:r>
        <w:t>гомоцистина</w:t>
      </w:r>
      <w:proofErr w:type="spellEnd"/>
      <w:r>
        <w:t xml:space="preserve"> и </w:t>
      </w:r>
      <w:proofErr w:type="spellStart"/>
      <w:r>
        <w:t>метионина</w:t>
      </w:r>
      <w:proofErr w:type="spellEnd"/>
      <w:r>
        <w:t xml:space="preserve">. </w:t>
      </w:r>
    </w:p>
    <w:p w:rsidR="00000000" w:rsidRDefault="00E31979">
      <w:pPr>
        <w:pStyle w:val="a4"/>
        <w:jc w:val="both"/>
      </w:pPr>
      <w:r>
        <w:t xml:space="preserve">• </w:t>
      </w:r>
      <w:proofErr w:type="spellStart"/>
      <w:r>
        <w:t>Контрактурная</w:t>
      </w:r>
      <w:proofErr w:type="spellEnd"/>
      <w:r>
        <w:t xml:space="preserve"> </w:t>
      </w:r>
      <w:proofErr w:type="spellStart"/>
      <w:r>
        <w:t>арахнодактилия</w:t>
      </w:r>
      <w:proofErr w:type="spellEnd"/>
    </w:p>
    <w:p w:rsidR="00000000" w:rsidRDefault="00E31979">
      <w:pPr>
        <w:pStyle w:val="a4"/>
        <w:jc w:val="both"/>
      </w:pPr>
      <w:r>
        <w:t xml:space="preserve">• Синдром </w:t>
      </w:r>
      <w:proofErr w:type="spellStart"/>
      <w:r>
        <w:t>Билса</w:t>
      </w:r>
      <w:proofErr w:type="spellEnd"/>
      <w:r>
        <w:t xml:space="preserve"> (ген фибриллина-2 FBN2, 5q23-q31) -разновидность болезни </w:t>
      </w:r>
      <w:proofErr w:type="spellStart"/>
      <w:r>
        <w:t>Марфана</w:t>
      </w:r>
      <w:proofErr w:type="spellEnd"/>
      <w:r>
        <w:t xml:space="preserve"> с нарушением синтеза белка фибриллина-2. </w:t>
      </w:r>
      <w:r>
        <w:rPr>
          <w:szCs w:val="20"/>
        </w:rPr>
        <w:t>Пр</w:t>
      </w:r>
      <w:r>
        <w:rPr>
          <w:szCs w:val="20"/>
        </w:rPr>
        <w:t xml:space="preserve">и синдроме </w:t>
      </w:r>
      <w:proofErr w:type="spellStart"/>
      <w:r>
        <w:rPr>
          <w:szCs w:val="20"/>
        </w:rPr>
        <w:t>Билса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Beals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syndrome</w:t>
      </w:r>
      <w:proofErr w:type="spellEnd"/>
      <w:r>
        <w:rPr>
          <w:szCs w:val="20"/>
        </w:rPr>
        <w:t xml:space="preserve"> или врожденной </w:t>
      </w:r>
      <w:proofErr w:type="spellStart"/>
      <w:r>
        <w:rPr>
          <w:szCs w:val="20"/>
        </w:rPr>
        <w:t>контрактурной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арахнодактилии</w:t>
      </w:r>
      <w:proofErr w:type="spellEnd"/>
      <w:r>
        <w:rPr>
          <w:szCs w:val="20"/>
        </w:rPr>
        <w:t xml:space="preserve">, ассоциированной с мутациями в гене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2) имеют место контрактуры суставов и аномалии ушной раковины.</w:t>
      </w:r>
    </w:p>
    <w:p w:rsidR="00000000" w:rsidRDefault="00E31979">
      <w:pPr>
        <w:pStyle w:val="a4"/>
        <w:jc w:val="both"/>
      </w:pPr>
      <w:r>
        <w:t xml:space="preserve">• Синдром </w:t>
      </w:r>
      <w:proofErr w:type="spellStart"/>
      <w:r>
        <w:t>Элерса-Данло-Русакова</w:t>
      </w:r>
      <w:proofErr w:type="spellEnd"/>
      <w:r>
        <w:t xml:space="preserve"> (разные типы)</w:t>
      </w:r>
    </w:p>
    <w:p w:rsidR="00000000" w:rsidRDefault="00E31979">
      <w:pPr>
        <w:pStyle w:val="a4"/>
        <w:jc w:val="both"/>
      </w:pPr>
      <w:r>
        <w:t>• Расслоение стенки арт</w:t>
      </w:r>
      <w:r>
        <w:t xml:space="preserve">ерий с </w:t>
      </w:r>
      <w:proofErr w:type="spellStart"/>
      <w:r>
        <w:t>лентигинозом</w:t>
      </w:r>
      <w:proofErr w:type="spellEnd"/>
      <w:r>
        <w:t xml:space="preserve"> </w:t>
      </w:r>
    </w:p>
    <w:p w:rsidR="00000000" w:rsidRDefault="00E31979">
      <w:pPr>
        <w:pStyle w:val="a4"/>
        <w:jc w:val="both"/>
      </w:pPr>
      <w:r>
        <w:t xml:space="preserve">• Синдром врождённой </w:t>
      </w:r>
      <w:proofErr w:type="spellStart"/>
      <w:r>
        <w:t>гиперрастяжимой</w:t>
      </w:r>
      <w:proofErr w:type="spellEnd"/>
      <w:r>
        <w:t xml:space="preserve"> кожи с </w:t>
      </w:r>
      <w:proofErr w:type="spellStart"/>
      <w:r>
        <w:t>марфаноподобным</w:t>
      </w:r>
      <w:proofErr w:type="spellEnd"/>
      <w:r>
        <w:t xml:space="preserve"> фенотипом (7q31.1-q31.3)</w:t>
      </w:r>
    </w:p>
    <w:p w:rsidR="00000000" w:rsidRDefault="00E31979">
      <w:pPr>
        <w:pStyle w:val="a4"/>
        <w:jc w:val="both"/>
      </w:pPr>
      <w:r>
        <w:t xml:space="preserve">• </w:t>
      </w:r>
      <w:proofErr w:type="spellStart"/>
      <w:r>
        <w:t>Трисомия</w:t>
      </w:r>
      <w:proofErr w:type="spellEnd"/>
      <w:r>
        <w:t xml:space="preserve"> 8 имеет костные проявления, как при синдроме </w:t>
      </w:r>
      <w:proofErr w:type="spellStart"/>
      <w:r>
        <w:t>Марфана</w:t>
      </w:r>
      <w:proofErr w:type="spellEnd"/>
      <w:r>
        <w:t>, но без глазных и сердечно-сосудистых признаков</w:t>
      </w:r>
    </w:p>
    <w:p w:rsidR="00000000" w:rsidRDefault="00E31979">
      <w:pPr>
        <w:pStyle w:val="a4"/>
        <w:jc w:val="both"/>
      </w:pPr>
      <w:r>
        <w:t xml:space="preserve">• </w:t>
      </w:r>
      <w:proofErr w:type="spellStart"/>
      <w:r>
        <w:t>Марфаноидное</w:t>
      </w:r>
      <w:proofErr w:type="spellEnd"/>
      <w:r>
        <w:t xml:space="preserve"> телосложение с микроцеф</w:t>
      </w:r>
      <w:r>
        <w:t xml:space="preserve">алией и </w:t>
      </w:r>
      <w:proofErr w:type="spellStart"/>
      <w:r>
        <w:t>гломерулонефритом</w:t>
      </w:r>
      <w:proofErr w:type="spellEnd"/>
      <w:r>
        <w:t xml:space="preserve"> .Клинически: умственная отсталость, микроцефалия, высокое нёбо, </w:t>
      </w:r>
      <w:proofErr w:type="spellStart"/>
      <w:r>
        <w:t>проптня</w:t>
      </w:r>
      <w:proofErr w:type="spellEnd"/>
      <w:r>
        <w:t xml:space="preserve">, </w:t>
      </w:r>
      <w:proofErr w:type="spellStart"/>
      <w:r>
        <w:t>марфаноидный</w:t>
      </w:r>
      <w:proofErr w:type="spellEnd"/>
      <w:r>
        <w:t xml:space="preserve"> внешний вид, </w:t>
      </w:r>
      <w:proofErr w:type="spellStart"/>
      <w:r>
        <w:t>гломерулонефрит</w:t>
      </w:r>
      <w:proofErr w:type="spellEnd"/>
      <w:r>
        <w:t xml:space="preserve">, почечная недостаточность, расширение IV желудочка. Лабораторные исследования неспецифичны. Отмечают непостоянную </w:t>
      </w:r>
      <w:proofErr w:type="spellStart"/>
      <w:r>
        <w:t>г</w:t>
      </w:r>
      <w:r>
        <w:t>иперэкскрецию</w:t>
      </w:r>
      <w:proofErr w:type="spellEnd"/>
      <w:r>
        <w:t xml:space="preserve"> </w:t>
      </w:r>
      <w:proofErr w:type="spellStart"/>
      <w:r>
        <w:t>гликозаминогликанов</w:t>
      </w:r>
      <w:proofErr w:type="spellEnd"/>
      <w:r>
        <w:t xml:space="preserve"> и </w:t>
      </w:r>
      <w:proofErr w:type="spellStart"/>
      <w:r>
        <w:t>оксипролина</w:t>
      </w:r>
      <w:proofErr w:type="spellEnd"/>
      <w:r>
        <w:t xml:space="preserve"> с мочой </w:t>
      </w:r>
    </w:p>
    <w:p w:rsidR="00000000" w:rsidRDefault="00E31979">
      <w:pPr>
        <w:pStyle w:val="a4"/>
        <w:jc w:val="both"/>
        <w:rPr>
          <w:szCs w:val="20"/>
        </w:rPr>
      </w:pPr>
      <w:r>
        <w:t xml:space="preserve">• </w:t>
      </w:r>
      <w:proofErr w:type="spellStart"/>
      <w:r>
        <w:rPr>
          <w:szCs w:val="20"/>
        </w:rPr>
        <w:t>Марфаноидный</w:t>
      </w:r>
      <w:proofErr w:type="spellEnd"/>
      <w:r>
        <w:rPr>
          <w:szCs w:val="20"/>
        </w:rPr>
        <w:t xml:space="preserve"> фенотип встречается при синдроме </w:t>
      </w:r>
      <w:proofErr w:type="spellStart"/>
      <w:r>
        <w:rPr>
          <w:szCs w:val="20"/>
        </w:rPr>
        <w:t>Lujan-Fryns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Х-сцепленное</w:t>
      </w:r>
      <w:proofErr w:type="spellEnd"/>
      <w:r>
        <w:rPr>
          <w:szCs w:val="20"/>
        </w:rPr>
        <w:t xml:space="preserve"> заболевание), синдроме </w:t>
      </w:r>
      <w:proofErr w:type="spellStart"/>
      <w:r>
        <w:rPr>
          <w:szCs w:val="20"/>
        </w:rPr>
        <w:t>Shprintzen-Goldberg</w:t>
      </w:r>
      <w:proofErr w:type="spellEnd"/>
      <w:r>
        <w:rPr>
          <w:szCs w:val="20"/>
        </w:rPr>
        <w:t xml:space="preserve"> (аутосомно-доминантное заболевание) и </w:t>
      </w:r>
      <w:proofErr w:type="spellStart"/>
      <w:r>
        <w:rPr>
          <w:szCs w:val="20"/>
        </w:rPr>
        <w:t>краниосиностозе</w:t>
      </w:r>
      <w:proofErr w:type="spellEnd"/>
      <w:r>
        <w:rPr>
          <w:szCs w:val="20"/>
        </w:rPr>
        <w:t>. У некоторых больных с синдр</w:t>
      </w:r>
      <w:r>
        <w:rPr>
          <w:szCs w:val="20"/>
        </w:rPr>
        <w:t xml:space="preserve">омом </w:t>
      </w:r>
      <w:proofErr w:type="spellStart"/>
      <w:r>
        <w:rPr>
          <w:szCs w:val="20"/>
        </w:rPr>
        <w:t>Shprintzen-Goldberg</w:t>
      </w:r>
      <w:proofErr w:type="spellEnd"/>
      <w:r>
        <w:rPr>
          <w:szCs w:val="20"/>
        </w:rPr>
        <w:t xml:space="preserve"> обнаружены </w:t>
      </w:r>
      <w:r>
        <w:rPr>
          <w:szCs w:val="20"/>
        </w:rPr>
        <w:lastRenderedPageBreak/>
        <w:t xml:space="preserve">мутации в гене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1, что может быть расценено как необычный вариант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>.</w:t>
      </w:r>
    </w:p>
    <w:p w:rsidR="00000000" w:rsidRDefault="00E31979">
      <w:pPr>
        <w:pStyle w:val="a4"/>
        <w:jc w:val="both"/>
      </w:pPr>
      <w:r>
        <w:t xml:space="preserve">• </w:t>
      </w:r>
      <w:r>
        <w:rPr>
          <w:szCs w:val="20"/>
        </w:rPr>
        <w:t xml:space="preserve">Другие болезни отличить от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бывает сложно. Например, синдром MASS (миопия, </w:t>
      </w:r>
      <w:proofErr w:type="spellStart"/>
      <w:r>
        <w:rPr>
          <w:szCs w:val="20"/>
        </w:rPr>
        <w:t>пролапс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митрального</w:t>
      </w:r>
      <w:proofErr w:type="spellEnd"/>
      <w:r>
        <w:rPr>
          <w:szCs w:val="20"/>
        </w:rPr>
        <w:t xml:space="preserve"> клапана, </w:t>
      </w:r>
      <w:proofErr w:type="spellStart"/>
      <w:r>
        <w:rPr>
          <w:szCs w:val="20"/>
        </w:rPr>
        <w:t>дила</w:t>
      </w:r>
      <w:r>
        <w:rPr>
          <w:szCs w:val="20"/>
        </w:rPr>
        <w:t>тация</w:t>
      </w:r>
      <w:proofErr w:type="spellEnd"/>
      <w:r>
        <w:rPr>
          <w:szCs w:val="20"/>
        </w:rPr>
        <w:t xml:space="preserve"> аорты, изменение кожи и скелета) можно расценить, как умерено выраженный синдром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. При этом заболевании иногда находят мутации в гене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1, однако </w:t>
      </w:r>
      <w:proofErr w:type="spellStart"/>
      <w:r>
        <w:rPr>
          <w:szCs w:val="20"/>
        </w:rPr>
        <w:t>дилятация</w:t>
      </w:r>
      <w:proofErr w:type="spellEnd"/>
      <w:r>
        <w:rPr>
          <w:szCs w:val="20"/>
        </w:rPr>
        <w:t xml:space="preserve"> аорты у больных менее выражена и риск развития аневризмы низкий. Кроме того, в</w:t>
      </w:r>
      <w:r>
        <w:rPr>
          <w:szCs w:val="20"/>
        </w:rPr>
        <w:t xml:space="preserve">стречается сочетание </w:t>
      </w:r>
      <w:proofErr w:type="spellStart"/>
      <w:r>
        <w:rPr>
          <w:szCs w:val="20"/>
        </w:rPr>
        <w:t>пролапса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митрального</w:t>
      </w:r>
      <w:proofErr w:type="spellEnd"/>
      <w:r>
        <w:rPr>
          <w:szCs w:val="20"/>
        </w:rPr>
        <w:t xml:space="preserve"> клапана с деформацией грудной клетки (чаще воронкообразной), но без других признаков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. В одном из таких случаев была обнаружена мутация в гене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1, однако широких молекулярно-генетических и</w:t>
      </w:r>
      <w:r>
        <w:rPr>
          <w:szCs w:val="20"/>
        </w:rPr>
        <w:t xml:space="preserve">сследований этого заболевания не проводилось. Изменения скелета, характерные для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и мутации в гене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1 описаны при аутосомно-доминантной эктопии хрусталиков. Описана также изолированная наследственная аневризма аорты, ассоциированн</w:t>
      </w:r>
      <w:r>
        <w:rPr>
          <w:szCs w:val="20"/>
        </w:rPr>
        <w:t xml:space="preserve">ая с еще некартированными генами на 5 и 11 хромосоме. </w:t>
      </w: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  <w:r>
        <w:t xml:space="preserve">Если не один из перечисленных диагнозов не поставлен, у больного - не классифицированный комплекс дефектов развития и </w:t>
      </w:r>
      <w:proofErr w:type="spellStart"/>
      <w:r>
        <w:t>марфаноподобный</w:t>
      </w:r>
      <w:proofErr w:type="spellEnd"/>
      <w:r>
        <w:t xml:space="preserve"> фенотип (</w:t>
      </w:r>
      <w:proofErr w:type="spellStart"/>
      <w:r>
        <w:t>арахнодактилия</w:t>
      </w:r>
      <w:proofErr w:type="spellEnd"/>
      <w:r>
        <w:t xml:space="preserve"> плюс </w:t>
      </w:r>
      <w:proofErr w:type="spellStart"/>
      <w:r>
        <w:t>долихостеномелия</w:t>
      </w:r>
      <w:proofErr w:type="spellEnd"/>
      <w:r>
        <w:t>).</w:t>
      </w: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</w:p>
    <w:p w:rsidR="00000000" w:rsidRDefault="00E31979">
      <w:pPr>
        <w:pStyle w:val="a4"/>
        <w:jc w:val="both"/>
      </w:pPr>
      <w:r>
        <w:rPr>
          <w:b/>
          <w:bCs/>
        </w:rPr>
        <w:br w:type="page"/>
      </w:r>
      <w:r>
        <w:rPr>
          <w:b/>
          <w:bCs/>
        </w:rPr>
        <w:lastRenderedPageBreak/>
        <w:t>Диагностика</w:t>
      </w:r>
      <w:r>
        <w:rPr>
          <w:b/>
          <w:bCs/>
        </w:rPr>
        <w:t xml:space="preserve"> синдрома </w:t>
      </w:r>
      <w:proofErr w:type="spellStart"/>
      <w:r>
        <w:rPr>
          <w:b/>
          <w:bCs/>
        </w:rPr>
        <w:t>Марфана</w:t>
      </w:r>
      <w:proofErr w:type="spellEnd"/>
      <w:r>
        <w:rPr>
          <w:b/>
          <w:bCs/>
        </w:rPr>
        <w:t xml:space="preserve">. </w:t>
      </w:r>
      <w:r>
        <w:t xml:space="preserve">Для установления диагноза синдрома </w:t>
      </w:r>
      <w:proofErr w:type="spellStart"/>
      <w:r>
        <w:t>Марфана</w:t>
      </w:r>
      <w:proofErr w:type="spellEnd"/>
      <w:r>
        <w:t xml:space="preserve"> используют критерии нозологии </w:t>
      </w:r>
      <w:proofErr w:type="spellStart"/>
      <w:r>
        <w:t>Ghent</w:t>
      </w:r>
      <w:proofErr w:type="spellEnd"/>
      <w:r>
        <w:t>, принятые в 1996 году, которые являются результатом пересмотра ранее существовавших критериев (</w:t>
      </w:r>
      <w:proofErr w:type="spellStart"/>
      <w:r>
        <w:t>Berlin</w:t>
      </w:r>
      <w:proofErr w:type="spellEnd"/>
      <w:r>
        <w:t>) от 1988 года (Таблица).</w:t>
      </w:r>
    </w:p>
    <w:p w:rsidR="00000000" w:rsidRDefault="00E31979">
      <w:pPr>
        <w:pStyle w:val="a4"/>
        <w:spacing w:line="240" w:lineRule="auto"/>
        <w:jc w:val="both"/>
        <w:rPr>
          <w:sz w:val="22"/>
        </w:rPr>
      </w:pPr>
    </w:p>
    <w:p w:rsidR="00000000" w:rsidRDefault="00E31979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 xml:space="preserve">Таблица. </w:t>
      </w:r>
      <w:r>
        <w:rPr>
          <w:b/>
          <w:bCs/>
          <w:sz w:val="22"/>
        </w:rPr>
        <w:t>Диагностические призн</w:t>
      </w:r>
      <w:r>
        <w:rPr>
          <w:b/>
          <w:bCs/>
          <w:sz w:val="22"/>
        </w:rPr>
        <w:t xml:space="preserve">аки синдрома </w:t>
      </w:r>
      <w:proofErr w:type="spellStart"/>
      <w:r>
        <w:rPr>
          <w:b/>
          <w:bCs/>
          <w:sz w:val="22"/>
        </w:rPr>
        <w:t>Марфана</w:t>
      </w:r>
      <w:proofErr w:type="spellEnd"/>
      <w:r>
        <w:rPr>
          <w:sz w:val="22"/>
        </w:rPr>
        <w:t>.</w:t>
      </w:r>
    </w:p>
    <w:tbl>
      <w:tblPr>
        <w:tblW w:w="4750" w:type="pct"/>
        <w:jc w:val="both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3801"/>
        <w:gridCol w:w="3676"/>
      </w:tblGrid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Главные 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Малые критерии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Скелетная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Наличие, по крайней мере, четырех из следующих признаков: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Килевидная</w:t>
            </w:r>
            <w:proofErr w:type="spellEnd"/>
            <w:r>
              <w:rPr>
                <w:sz w:val="22"/>
              </w:rPr>
              <w:t xml:space="preserve"> деформация грудной клетки;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Воронкообразная деформация </w:t>
            </w:r>
            <w:proofErr w:type="spellStart"/>
            <w:r>
              <w:rPr>
                <w:sz w:val="22"/>
              </w:rPr>
              <w:t>груд-ной</w:t>
            </w:r>
            <w:proofErr w:type="spellEnd"/>
            <w:r>
              <w:rPr>
                <w:sz w:val="22"/>
              </w:rPr>
              <w:t xml:space="preserve"> клетки, требующая </w:t>
            </w:r>
            <w:proofErr w:type="spellStart"/>
            <w:r>
              <w:rPr>
                <w:sz w:val="22"/>
              </w:rPr>
              <w:t>хирургичес-кого</w:t>
            </w:r>
            <w:proofErr w:type="spellEnd"/>
            <w:r>
              <w:rPr>
                <w:sz w:val="22"/>
              </w:rPr>
              <w:t xml:space="preserve"> лечения;</w:t>
            </w:r>
          </w:p>
          <w:p w:rsidR="00000000" w:rsidRDefault="00E3197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Отношение длины верхнего сегмента тела к нижнему &lt; 0,86, или размаха рук к росту &gt; 1,05; </w:t>
            </w:r>
          </w:p>
          <w:p w:rsidR="00000000" w:rsidRDefault="00E3197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Сколиоз (&gt; 20</w:t>
            </w:r>
            <w:r>
              <w:rPr>
                <w:sz w:val="22"/>
                <w:szCs w:val="20"/>
                <w:vertAlign w:val="superscript"/>
              </w:rPr>
              <w:t>о</w:t>
            </w:r>
            <w:r>
              <w:rPr>
                <w:sz w:val="22"/>
              </w:rPr>
              <w:t xml:space="preserve">) или </w:t>
            </w:r>
            <w:proofErr w:type="spellStart"/>
            <w:r>
              <w:rPr>
                <w:sz w:val="22"/>
              </w:rPr>
              <w:t>спондилолистез</w:t>
            </w:r>
            <w:proofErr w:type="spellEnd"/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Ограничение разгибания в локтевом суставе (&lt;170</w:t>
            </w:r>
            <w:r>
              <w:rPr>
                <w:sz w:val="22"/>
                <w:szCs w:val="20"/>
                <w:vertAlign w:val="superscript"/>
              </w:rPr>
              <w:t>о</w:t>
            </w:r>
            <w:r>
              <w:rPr>
                <w:sz w:val="22"/>
              </w:rPr>
              <w:t xml:space="preserve">);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Плоскостопие; </w:t>
            </w:r>
          </w:p>
          <w:p w:rsidR="00000000" w:rsidRDefault="00E3197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Протрузия</w:t>
            </w:r>
            <w:proofErr w:type="spellEnd"/>
            <w:r>
              <w:rPr>
                <w:sz w:val="22"/>
              </w:rPr>
              <w:t xml:space="preserve"> вертлужной впадины.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Наличие двух главных при</w:t>
            </w:r>
            <w:r>
              <w:rPr>
                <w:sz w:val="22"/>
              </w:rPr>
              <w:t xml:space="preserve">знаков, или одного главного и двух из нижеследующих: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Воронкообразная деформация грудной клетки;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Гиперподвижность</w:t>
            </w:r>
            <w:proofErr w:type="spellEnd"/>
            <w:r>
              <w:rPr>
                <w:sz w:val="22"/>
              </w:rPr>
              <w:t xml:space="preserve"> суставов;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Высокое небо и неровно растущие зубы; 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·</w:t>
            </w:r>
            <w:r>
              <w:rPr>
                <w:sz w:val="22"/>
              </w:rPr>
              <w:t xml:space="preserve"> Характерное лицо. 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Вывих хрусталиков (эктопия хрусталиков)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Уплощение </w:t>
            </w:r>
            <w:r>
              <w:rPr>
                <w:sz w:val="22"/>
              </w:rPr>
              <w:t xml:space="preserve">роговицы; Увеличение аксиального размера глазного яблока (причина миопии); </w:t>
            </w:r>
            <w:proofErr w:type="spellStart"/>
            <w:r>
              <w:rPr>
                <w:sz w:val="22"/>
              </w:rPr>
              <w:t>Гипоплазия</w:t>
            </w:r>
            <w:proofErr w:type="spellEnd"/>
            <w:r>
              <w:rPr>
                <w:sz w:val="22"/>
              </w:rPr>
              <w:t xml:space="preserve"> радужки или </w:t>
            </w:r>
            <w:proofErr w:type="spellStart"/>
            <w:r>
              <w:rPr>
                <w:sz w:val="22"/>
              </w:rPr>
              <w:t>целиарной</w:t>
            </w:r>
            <w:proofErr w:type="spellEnd"/>
            <w:r>
              <w:rPr>
                <w:sz w:val="22"/>
              </w:rPr>
              <w:t xml:space="preserve"> мышцы (причина сужения зрачка).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Сердечно-сосудистая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Дилатация</w:t>
            </w:r>
            <w:proofErr w:type="spellEnd"/>
            <w:r>
              <w:rPr>
                <w:sz w:val="22"/>
              </w:rPr>
              <w:t xml:space="preserve"> корня аорты; Расслоение восходящей аорты.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Пролапс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митрального</w:t>
            </w:r>
            <w:proofErr w:type="spellEnd"/>
            <w:r>
              <w:rPr>
                <w:sz w:val="22"/>
              </w:rPr>
              <w:t xml:space="preserve"> клапана; </w:t>
            </w:r>
            <w:proofErr w:type="spellStart"/>
            <w:r>
              <w:rPr>
                <w:sz w:val="22"/>
              </w:rPr>
              <w:t>Дилатация</w:t>
            </w:r>
            <w:proofErr w:type="spellEnd"/>
            <w:r>
              <w:rPr>
                <w:sz w:val="22"/>
              </w:rPr>
              <w:t xml:space="preserve"> лего</w:t>
            </w:r>
            <w:r>
              <w:rPr>
                <w:sz w:val="22"/>
              </w:rPr>
              <w:t xml:space="preserve">чной артерии после сорокалетнего возраста; </w:t>
            </w:r>
            <w:proofErr w:type="spellStart"/>
            <w:r>
              <w:rPr>
                <w:sz w:val="22"/>
              </w:rPr>
              <w:t>Кальцификация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митрального</w:t>
            </w:r>
            <w:proofErr w:type="spellEnd"/>
            <w:r>
              <w:rPr>
                <w:sz w:val="22"/>
              </w:rPr>
              <w:t xml:space="preserve"> кольца после сорока лет; </w:t>
            </w:r>
            <w:proofErr w:type="spellStart"/>
            <w:r>
              <w:rPr>
                <w:sz w:val="22"/>
              </w:rPr>
              <w:t>Дилатация</w:t>
            </w:r>
            <w:proofErr w:type="spellEnd"/>
            <w:r>
              <w:rPr>
                <w:sz w:val="22"/>
              </w:rPr>
              <w:t xml:space="preserve"> или расслоение иных участков аорты.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Дыхательная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Спонтанный пневмоторакс; Апикальные пузыри.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Покровная [кожа]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Атрофические </w:t>
            </w:r>
            <w:proofErr w:type="spellStart"/>
            <w:r>
              <w:rPr>
                <w:sz w:val="22"/>
              </w:rPr>
              <w:t>стрии</w:t>
            </w:r>
            <w:proofErr w:type="spellEnd"/>
            <w:r>
              <w:rPr>
                <w:sz w:val="22"/>
              </w:rPr>
              <w:t>; Рецидивирующи</w:t>
            </w:r>
            <w:r>
              <w:rPr>
                <w:sz w:val="22"/>
              </w:rPr>
              <w:t>е грыжи.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Твердая мозговая оболочка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Эктазия пояснично-крестцового отдела.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Генетические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независимых критериев у родителей, детей или </w:t>
            </w:r>
            <w:proofErr w:type="spellStart"/>
            <w:r>
              <w:rPr>
                <w:sz w:val="22"/>
              </w:rPr>
              <w:t>сибсов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Мута-ции</w:t>
            </w:r>
            <w:proofErr w:type="spellEnd"/>
            <w:r>
              <w:rPr>
                <w:sz w:val="22"/>
              </w:rPr>
              <w:t xml:space="preserve">, характерные для синдрома </w:t>
            </w:r>
            <w:proofErr w:type="spellStart"/>
            <w:r>
              <w:rPr>
                <w:sz w:val="22"/>
              </w:rPr>
              <w:t>Мар-фана</w:t>
            </w:r>
            <w:proofErr w:type="spellEnd"/>
            <w:r>
              <w:rPr>
                <w:sz w:val="22"/>
              </w:rPr>
              <w:t xml:space="preserve"> в гене </w:t>
            </w:r>
            <w:proofErr w:type="spellStart"/>
            <w:r>
              <w:rPr>
                <w:sz w:val="22"/>
              </w:rPr>
              <w:t>фибриллина</w:t>
            </w:r>
            <w:proofErr w:type="spellEnd"/>
            <w:r>
              <w:rPr>
                <w:sz w:val="22"/>
              </w:rPr>
              <w:t xml:space="preserve"> 1. </w:t>
            </w:r>
            <w:proofErr w:type="spellStart"/>
            <w:r>
              <w:rPr>
                <w:sz w:val="22"/>
              </w:rPr>
              <w:t>Наследо-вание</w:t>
            </w:r>
            <w:proofErr w:type="spellEnd"/>
            <w:r>
              <w:rPr>
                <w:sz w:val="22"/>
              </w:rPr>
              <w:t xml:space="preserve"> маркерного </w:t>
            </w:r>
            <w:proofErr w:type="spellStart"/>
            <w:r>
              <w:rPr>
                <w:sz w:val="22"/>
              </w:rPr>
              <w:t>гапл</w:t>
            </w:r>
            <w:r>
              <w:rPr>
                <w:sz w:val="22"/>
              </w:rPr>
              <w:t>отипа</w:t>
            </w:r>
            <w:proofErr w:type="spellEnd"/>
            <w:r>
              <w:rPr>
                <w:sz w:val="22"/>
              </w:rPr>
              <w:t xml:space="preserve"> ДНК, сцепленного с синдромом </w:t>
            </w:r>
            <w:proofErr w:type="spellStart"/>
            <w:r>
              <w:rPr>
                <w:sz w:val="22"/>
              </w:rPr>
              <w:t>Марфана</w:t>
            </w:r>
            <w:proofErr w:type="spellEnd"/>
            <w:r>
              <w:rPr>
                <w:sz w:val="22"/>
              </w:rPr>
              <w:t>,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00000">
        <w:trPr>
          <w:tblCellSpacing w:w="15" w:type="dxa"/>
          <w:jc w:val="both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E3197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Для всех, кроме скелетной системы, достаточным условием считается наличие одного главного критерия или одного малого критерия.        </w:t>
            </w:r>
          </w:p>
        </w:tc>
      </w:tr>
    </w:tbl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Для диагноза синдрома </w:t>
      </w:r>
      <w:proofErr w:type="spellStart"/>
      <w:r>
        <w:rPr>
          <w:rFonts w:ascii="Times New Roman" w:hAnsi="Times New Roman"/>
          <w:sz w:val="24"/>
          <w:szCs w:val="20"/>
        </w:rPr>
        <w:t>Марфана</w:t>
      </w:r>
      <w:proofErr w:type="spellEnd"/>
      <w:r>
        <w:rPr>
          <w:rFonts w:ascii="Times New Roman" w:hAnsi="Times New Roman"/>
          <w:sz w:val="24"/>
          <w:szCs w:val="20"/>
        </w:rPr>
        <w:t xml:space="preserve"> необходимо, как минимум, наличия</w:t>
      </w:r>
      <w:r>
        <w:rPr>
          <w:rFonts w:ascii="Times New Roman" w:hAnsi="Times New Roman"/>
          <w:sz w:val="24"/>
          <w:szCs w:val="20"/>
        </w:rPr>
        <w:t xml:space="preserve"> по одному главному критерию в двух системах и одного малого в третьей. Изменение твердой мозговой оболочки и генетические признаки являются дополнительными критериями.</w:t>
      </w:r>
      <w:r>
        <w:rPr>
          <w:rFonts w:ascii="Times New Roman" w:hAnsi="Times New Roman"/>
          <w:sz w:val="24"/>
          <w:szCs w:val="20"/>
        </w:rPr>
        <w:br/>
      </w:r>
      <w:proofErr w:type="spellStart"/>
      <w:r>
        <w:rPr>
          <w:rFonts w:ascii="Times New Roman" w:hAnsi="Times New Roman"/>
          <w:sz w:val="24"/>
          <w:szCs w:val="20"/>
        </w:rPr>
        <w:t>Арахнодактилию</w:t>
      </w:r>
      <w:proofErr w:type="spellEnd"/>
      <w:r>
        <w:rPr>
          <w:rFonts w:ascii="Times New Roman" w:hAnsi="Times New Roman"/>
          <w:sz w:val="24"/>
          <w:szCs w:val="20"/>
        </w:rPr>
        <w:t xml:space="preserve"> выявляют с помощью признака большого пальца </w:t>
      </w:r>
      <w:proofErr w:type="spellStart"/>
      <w:r>
        <w:rPr>
          <w:rFonts w:ascii="Times New Roman" w:hAnsi="Times New Roman"/>
          <w:sz w:val="24"/>
          <w:szCs w:val="20"/>
        </w:rPr>
        <w:t>Steinberg</w:t>
      </w:r>
      <w:proofErr w:type="spellEnd"/>
      <w:r>
        <w:rPr>
          <w:rFonts w:ascii="Times New Roman" w:hAnsi="Times New Roman"/>
          <w:sz w:val="24"/>
          <w:szCs w:val="20"/>
        </w:rPr>
        <w:t xml:space="preserve"> (при сгибании боль</w:t>
      </w:r>
      <w:r>
        <w:rPr>
          <w:rFonts w:ascii="Times New Roman" w:hAnsi="Times New Roman"/>
          <w:sz w:val="24"/>
          <w:szCs w:val="20"/>
        </w:rPr>
        <w:t xml:space="preserve">шого пальца поперек ладони, его ногтевая фаланга выступает за </w:t>
      </w:r>
      <w:proofErr w:type="spellStart"/>
      <w:r>
        <w:rPr>
          <w:rFonts w:ascii="Times New Roman" w:hAnsi="Times New Roman"/>
          <w:sz w:val="24"/>
          <w:szCs w:val="20"/>
        </w:rPr>
        <w:t>ульнарный</w:t>
      </w:r>
      <w:proofErr w:type="spellEnd"/>
      <w:r>
        <w:rPr>
          <w:rFonts w:ascii="Times New Roman" w:hAnsi="Times New Roman"/>
          <w:sz w:val="24"/>
          <w:szCs w:val="20"/>
        </w:rPr>
        <w:t xml:space="preserve"> край) и признака </w:t>
      </w:r>
      <w:proofErr w:type="spellStart"/>
      <w:r>
        <w:rPr>
          <w:rFonts w:ascii="Times New Roman" w:hAnsi="Times New Roman"/>
          <w:sz w:val="24"/>
          <w:szCs w:val="20"/>
        </w:rPr>
        <w:t>Walker-Murdoch</w:t>
      </w:r>
      <w:proofErr w:type="spellEnd"/>
      <w:r>
        <w:rPr>
          <w:rFonts w:ascii="Times New Roman" w:hAnsi="Times New Roman"/>
          <w:sz w:val="24"/>
          <w:szCs w:val="20"/>
        </w:rPr>
        <w:t xml:space="preserve"> (перекрывание концевых фаланг большого пальца и мизинца при охвате ими запястья противоположной руки). Цифры, характеризующие соотношение сегментов тела</w:t>
      </w:r>
      <w:r>
        <w:rPr>
          <w:rFonts w:ascii="Times New Roman" w:hAnsi="Times New Roman"/>
          <w:sz w:val="24"/>
          <w:szCs w:val="20"/>
        </w:rPr>
        <w:t xml:space="preserve">, являются объективными критериями </w:t>
      </w:r>
      <w:proofErr w:type="spellStart"/>
      <w:r>
        <w:rPr>
          <w:rFonts w:ascii="Times New Roman" w:hAnsi="Times New Roman"/>
          <w:sz w:val="24"/>
          <w:szCs w:val="20"/>
        </w:rPr>
        <w:t>марфаноидного</w:t>
      </w:r>
      <w:proofErr w:type="spellEnd"/>
      <w:r>
        <w:rPr>
          <w:rFonts w:ascii="Times New Roman" w:hAnsi="Times New Roman"/>
          <w:sz w:val="24"/>
          <w:szCs w:val="20"/>
        </w:rPr>
        <w:t xml:space="preserve"> габитуса. Нижний сегмент измеряется от симфиза лобка до пола, длину верхнего сегмента получают вычитанием полученной цифры из роста пациента.</w:t>
      </w:r>
      <w:r>
        <w:rPr>
          <w:rFonts w:ascii="Times New Roman" w:hAnsi="Times New Roman"/>
          <w:sz w:val="24"/>
          <w:szCs w:val="20"/>
        </w:rPr>
        <w:br/>
      </w:r>
      <w:proofErr w:type="spellStart"/>
      <w:r>
        <w:rPr>
          <w:rFonts w:ascii="Times New Roman" w:hAnsi="Times New Roman"/>
          <w:sz w:val="24"/>
          <w:szCs w:val="20"/>
        </w:rPr>
        <w:t>Протрузию</w:t>
      </w:r>
      <w:proofErr w:type="spellEnd"/>
      <w:r>
        <w:rPr>
          <w:rFonts w:ascii="Times New Roman" w:hAnsi="Times New Roman"/>
          <w:sz w:val="24"/>
          <w:szCs w:val="20"/>
        </w:rPr>
        <w:t xml:space="preserve"> вертлужной впадины определяют путем рентгенографии тазо</w:t>
      </w:r>
      <w:r>
        <w:rPr>
          <w:rFonts w:ascii="Times New Roman" w:hAnsi="Times New Roman"/>
          <w:sz w:val="24"/>
          <w:szCs w:val="20"/>
        </w:rPr>
        <w:t>бедренных суставов, эктазию твердой мозговой оболочки – МРТ исследованием.</w:t>
      </w:r>
      <w:r>
        <w:rPr>
          <w:rFonts w:ascii="Times New Roman" w:hAnsi="Times New Roman"/>
          <w:sz w:val="24"/>
          <w:szCs w:val="20"/>
        </w:rPr>
        <w:br/>
      </w:r>
      <w:proofErr w:type="spellStart"/>
      <w:r>
        <w:rPr>
          <w:rFonts w:ascii="Times New Roman" w:hAnsi="Times New Roman"/>
          <w:sz w:val="24"/>
          <w:szCs w:val="20"/>
        </w:rPr>
        <w:t>Дилятация</w:t>
      </w:r>
      <w:proofErr w:type="spellEnd"/>
      <w:r>
        <w:rPr>
          <w:rFonts w:ascii="Times New Roman" w:hAnsi="Times New Roman"/>
          <w:sz w:val="24"/>
          <w:szCs w:val="20"/>
        </w:rPr>
        <w:t xml:space="preserve"> аорты при синдроме </w:t>
      </w:r>
      <w:proofErr w:type="spellStart"/>
      <w:r>
        <w:rPr>
          <w:rFonts w:ascii="Times New Roman" w:hAnsi="Times New Roman"/>
          <w:sz w:val="24"/>
          <w:szCs w:val="20"/>
        </w:rPr>
        <w:t>Марфана</w:t>
      </w:r>
      <w:proofErr w:type="spellEnd"/>
      <w:r>
        <w:rPr>
          <w:rFonts w:ascii="Times New Roman" w:hAnsi="Times New Roman"/>
          <w:sz w:val="24"/>
          <w:szCs w:val="20"/>
        </w:rPr>
        <w:t xml:space="preserve">, обычно, начинается с синуса </w:t>
      </w:r>
      <w:proofErr w:type="spellStart"/>
      <w:r>
        <w:rPr>
          <w:rFonts w:ascii="Times New Roman" w:hAnsi="Times New Roman"/>
          <w:sz w:val="24"/>
          <w:szCs w:val="20"/>
        </w:rPr>
        <w:t>Вальсальвы</w:t>
      </w:r>
      <w:proofErr w:type="spellEnd"/>
      <w:r>
        <w:rPr>
          <w:rFonts w:ascii="Times New Roman" w:hAnsi="Times New Roman"/>
          <w:sz w:val="24"/>
          <w:szCs w:val="20"/>
        </w:rPr>
        <w:t xml:space="preserve">. Диаметр этого синуса, наряду с другими размерами аорты, измеряют при проведении </w:t>
      </w:r>
      <w:proofErr w:type="spellStart"/>
      <w:r>
        <w:rPr>
          <w:rFonts w:ascii="Times New Roman" w:hAnsi="Times New Roman"/>
          <w:sz w:val="24"/>
          <w:szCs w:val="20"/>
        </w:rPr>
        <w:t>трансторакальной</w:t>
      </w:r>
      <w:proofErr w:type="spellEnd"/>
      <w:r>
        <w:rPr>
          <w:rFonts w:ascii="Times New Roman" w:hAnsi="Times New Roman"/>
          <w:sz w:val="24"/>
          <w:szCs w:val="20"/>
        </w:rPr>
        <w:t xml:space="preserve"> ЭХО-КГ</w:t>
      </w:r>
      <w:r>
        <w:rPr>
          <w:rFonts w:ascii="Times New Roman" w:hAnsi="Times New Roman"/>
          <w:sz w:val="24"/>
          <w:szCs w:val="20"/>
        </w:rPr>
        <w:t xml:space="preserve"> и оценивают в соответствии с возрастными нормами и площадью поверхности тела пациента. Увеличение диаметра корня аорты повышает риск ее расслоения. В качестве вспомогательных методов оценки состояния аорты можно применять </w:t>
      </w:r>
      <w:proofErr w:type="spellStart"/>
      <w:r>
        <w:rPr>
          <w:rFonts w:ascii="Times New Roman" w:hAnsi="Times New Roman"/>
          <w:sz w:val="24"/>
          <w:szCs w:val="20"/>
        </w:rPr>
        <w:t>трансэзофагальную</w:t>
      </w:r>
      <w:proofErr w:type="spellEnd"/>
      <w:r>
        <w:rPr>
          <w:rFonts w:ascii="Times New Roman" w:hAnsi="Times New Roman"/>
          <w:sz w:val="24"/>
          <w:szCs w:val="20"/>
        </w:rPr>
        <w:t xml:space="preserve"> ЭХО-КГ, МРТ или</w:t>
      </w:r>
      <w:r>
        <w:rPr>
          <w:rFonts w:ascii="Times New Roman" w:hAnsi="Times New Roman"/>
          <w:sz w:val="24"/>
          <w:szCs w:val="20"/>
        </w:rPr>
        <w:t xml:space="preserve"> КТ. Некоторые признаки синдрома </w:t>
      </w:r>
      <w:proofErr w:type="spellStart"/>
      <w:r>
        <w:rPr>
          <w:rFonts w:ascii="Times New Roman" w:hAnsi="Times New Roman"/>
          <w:sz w:val="24"/>
          <w:szCs w:val="20"/>
        </w:rPr>
        <w:t>Марфана</w:t>
      </w:r>
      <w:proofErr w:type="spellEnd"/>
      <w:r>
        <w:rPr>
          <w:rFonts w:ascii="Times New Roman" w:hAnsi="Times New Roman"/>
          <w:sz w:val="24"/>
          <w:szCs w:val="20"/>
        </w:rPr>
        <w:t xml:space="preserve">, такие как </w:t>
      </w:r>
      <w:proofErr w:type="spellStart"/>
      <w:r>
        <w:rPr>
          <w:rFonts w:ascii="Times New Roman" w:hAnsi="Times New Roman"/>
          <w:sz w:val="24"/>
          <w:szCs w:val="20"/>
        </w:rPr>
        <w:t>эхокардиаграфические</w:t>
      </w:r>
      <w:proofErr w:type="spellEnd"/>
      <w:r>
        <w:rPr>
          <w:rFonts w:ascii="Times New Roman" w:hAnsi="Times New Roman"/>
          <w:sz w:val="24"/>
          <w:szCs w:val="20"/>
        </w:rPr>
        <w:t xml:space="preserve"> находки, эктопия хрусталика, сколиоз, соотношение верхнего сегмента к нижнему и </w:t>
      </w:r>
      <w:proofErr w:type="spellStart"/>
      <w:r>
        <w:rPr>
          <w:rFonts w:ascii="Times New Roman" w:hAnsi="Times New Roman"/>
          <w:sz w:val="24"/>
          <w:szCs w:val="20"/>
        </w:rPr>
        <w:t>протрузия</w:t>
      </w:r>
      <w:proofErr w:type="spellEnd"/>
      <w:r>
        <w:rPr>
          <w:rFonts w:ascii="Times New Roman" w:hAnsi="Times New Roman"/>
          <w:sz w:val="24"/>
          <w:szCs w:val="20"/>
        </w:rPr>
        <w:t xml:space="preserve"> вертлужной впадины, могут появиться по мере роста организма. Для молодых пациентов с семейной</w:t>
      </w:r>
      <w:r>
        <w:rPr>
          <w:rFonts w:ascii="Times New Roman" w:hAnsi="Times New Roman"/>
          <w:sz w:val="24"/>
          <w:szCs w:val="20"/>
        </w:rPr>
        <w:t xml:space="preserve"> историей синдрома </w:t>
      </w:r>
      <w:proofErr w:type="spellStart"/>
      <w:r>
        <w:rPr>
          <w:rFonts w:ascii="Times New Roman" w:hAnsi="Times New Roman"/>
          <w:sz w:val="24"/>
          <w:szCs w:val="20"/>
        </w:rPr>
        <w:t>Марфана</w:t>
      </w:r>
      <w:proofErr w:type="spellEnd"/>
      <w:r>
        <w:rPr>
          <w:rFonts w:ascii="Times New Roman" w:hAnsi="Times New Roman"/>
          <w:sz w:val="24"/>
          <w:szCs w:val="20"/>
        </w:rPr>
        <w:t xml:space="preserve">, которые не имеют убедительных клинических признаков, а также для молодых пациентов с </w:t>
      </w:r>
      <w:proofErr w:type="spellStart"/>
      <w:r>
        <w:rPr>
          <w:rFonts w:ascii="Times New Roman" w:hAnsi="Times New Roman"/>
          <w:sz w:val="24"/>
          <w:szCs w:val="20"/>
        </w:rPr>
        <w:t>Марфан-подобными</w:t>
      </w:r>
      <w:proofErr w:type="spellEnd"/>
      <w:r>
        <w:rPr>
          <w:rFonts w:ascii="Times New Roman" w:hAnsi="Times New Roman"/>
          <w:sz w:val="24"/>
          <w:szCs w:val="20"/>
        </w:rPr>
        <w:t xml:space="preserve"> признаками, но без семейного анамнеза, необходимо постоянное наблюдение до возраста 18 лет. </w:t>
      </w:r>
      <w:proofErr w:type="spellStart"/>
      <w:r>
        <w:rPr>
          <w:rFonts w:ascii="Times New Roman" w:hAnsi="Times New Roman"/>
          <w:sz w:val="24"/>
          <w:szCs w:val="20"/>
        </w:rPr>
        <w:t>Пробанд</w:t>
      </w:r>
      <w:proofErr w:type="spellEnd"/>
      <w:r>
        <w:rPr>
          <w:rFonts w:ascii="Times New Roman" w:hAnsi="Times New Roman"/>
          <w:sz w:val="24"/>
          <w:szCs w:val="20"/>
        </w:rPr>
        <w:t xml:space="preserve"> с подозрением на синдром </w:t>
      </w:r>
      <w:proofErr w:type="spellStart"/>
      <w:r>
        <w:rPr>
          <w:rFonts w:ascii="Times New Roman" w:hAnsi="Times New Roman"/>
          <w:sz w:val="24"/>
          <w:szCs w:val="20"/>
        </w:rPr>
        <w:t>М</w:t>
      </w:r>
      <w:r>
        <w:rPr>
          <w:rFonts w:ascii="Times New Roman" w:hAnsi="Times New Roman"/>
          <w:sz w:val="24"/>
          <w:szCs w:val="20"/>
        </w:rPr>
        <w:t>арфана</w:t>
      </w:r>
      <w:proofErr w:type="spellEnd"/>
      <w:r>
        <w:rPr>
          <w:rFonts w:ascii="Times New Roman" w:hAnsi="Times New Roman"/>
          <w:sz w:val="24"/>
          <w:szCs w:val="20"/>
        </w:rPr>
        <w:t xml:space="preserve"> должен наблюдаться клиническим генетиком, кардиологом, офтальмологом и врачом лучевой диагностики, в соответствии со следующим алгоритмом.</w:t>
      </w:r>
    </w:p>
    <w:p w:rsidR="00000000" w:rsidRDefault="00E319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Диагноз должен основываться на критериях нозологии </w:t>
      </w:r>
      <w:proofErr w:type="spellStart"/>
      <w:r>
        <w:rPr>
          <w:szCs w:val="20"/>
        </w:rPr>
        <w:t>Ghent</w:t>
      </w:r>
      <w:proofErr w:type="spellEnd"/>
      <w:r>
        <w:rPr>
          <w:szCs w:val="20"/>
        </w:rPr>
        <w:t>.</w:t>
      </w:r>
    </w:p>
    <w:p w:rsidR="00000000" w:rsidRDefault="00E319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>Первичная оценка должна включать анамнез жизни, дета</w:t>
      </w:r>
      <w:r>
        <w:rPr>
          <w:szCs w:val="20"/>
        </w:rPr>
        <w:t>льный семейный анамнез, клинический осмотр, офтальмологическое исследование и ЭХО-КГ.</w:t>
      </w:r>
    </w:p>
    <w:p w:rsidR="00000000" w:rsidRDefault="00E319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Диаметр синуса </w:t>
      </w:r>
      <w:proofErr w:type="spellStart"/>
      <w:r>
        <w:rPr>
          <w:szCs w:val="20"/>
        </w:rPr>
        <w:t>Вальсальвы</w:t>
      </w:r>
      <w:proofErr w:type="spellEnd"/>
      <w:r>
        <w:rPr>
          <w:szCs w:val="20"/>
        </w:rPr>
        <w:t xml:space="preserve"> должен быть оценен в соответствии с возрастом и площадью поверхности тела пациента.</w:t>
      </w:r>
    </w:p>
    <w:p w:rsidR="00000000" w:rsidRDefault="00E319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Сколиоз и </w:t>
      </w:r>
      <w:proofErr w:type="spellStart"/>
      <w:r>
        <w:rPr>
          <w:szCs w:val="20"/>
        </w:rPr>
        <w:t>протрузия</w:t>
      </w:r>
      <w:proofErr w:type="spellEnd"/>
      <w:r>
        <w:rPr>
          <w:szCs w:val="20"/>
        </w:rPr>
        <w:t xml:space="preserve"> вертлужной впадины, обычно, возникают вс</w:t>
      </w:r>
      <w:r>
        <w:rPr>
          <w:szCs w:val="20"/>
        </w:rPr>
        <w:t xml:space="preserve">лед за периодом быстрого роста. Рентгенологические признаки, появившиеся в эти возрастные периоды, дают право поставить диагноз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>.</w:t>
      </w:r>
    </w:p>
    <w:p w:rsidR="00000000" w:rsidRDefault="00E319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МРТ позвоночника, выявившее эктазию твердой мозговой оболочки, дает право поставить диагноз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>.</w:t>
      </w:r>
    </w:p>
    <w:p w:rsidR="00000000" w:rsidRDefault="00E319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Юные пациенты, не имеющие удовлетворительных клинических критериев нозологии </w:t>
      </w:r>
      <w:proofErr w:type="spellStart"/>
      <w:r>
        <w:rPr>
          <w:szCs w:val="20"/>
        </w:rPr>
        <w:t>Ghent</w:t>
      </w:r>
      <w:proofErr w:type="spellEnd"/>
      <w:r>
        <w:rPr>
          <w:szCs w:val="20"/>
        </w:rPr>
        <w:t xml:space="preserve">, должны быть повторно обследованы перед поступлением в начальную школу, перед </w:t>
      </w:r>
      <w:proofErr w:type="spellStart"/>
      <w:r>
        <w:rPr>
          <w:szCs w:val="20"/>
        </w:rPr>
        <w:t>пубертатом</w:t>
      </w:r>
      <w:proofErr w:type="spellEnd"/>
      <w:r>
        <w:rPr>
          <w:szCs w:val="20"/>
        </w:rPr>
        <w:t xml:space="preserve"> и в возрасте18 лет, если они попадают в одну из следующих групп:</w:t>
      </w:r>
    </w:p>
    <w:p w:rsidR="00000000" w:rsidRDefault="00E3197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Дети и подростки с </w:t>
      </w:r>
      <w:r>
        <w:rPr>
          <w:szCs w:val="20"/>
        </w:rPr>
        <w:t>позитивной семейной историей, чья ДНК не может быть исследована.</w:t>
      </w:r>
    </w:p>
    <w:p w:rsidR="00000000" w:rsidRDefault="00E31979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>Дети и подростки без семейной истории, которые удовлетворяют критериям только по одной из систем.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Лечение </w:t>
      </w:r>
      <w:r>
        <w:rPr>
          <w:rFonts w:ascii="Times New Roman" w:hAnsi="Times New Roman"/>
          <w:sz w:val="24"/>
        </w:rPr>
        <w:t xml:space="preserve">больных с CM (как и при большинстве </w:t>
      </w:r>
      <w:proofErr w:type="spellStart"/>
      <w:r>
        <w:rPr>
          <w:rFonts w:ascii="Times New Roman" w:hAnsi="Times New Roman"/>
          <w:sz w:val="24"/>
        </w:rPr>
        <w:t>врожденно-наследственных</w:t>
      </w:r>
      <w:proofErr w:type="spellEnd"/>
      <w:r>
        <w:rPr>
          <w:rFonts w:ascii="Times New Roman" w:hAnsi="Times New Roman"/>
          <w:sz w:val="24"/>
        </w:rPr>
        <w:t xml:space="preserve"> синдромов) ранее было си</w:t>
      </w:r>
      <w:r>
        <w:rPr>
          <w:rFonts w:ascii="Times New Roman" w:hAnsi="Times New Roman"/>
          <w:sz w:val="24"/>
        </w:rPr>
        <w:t xml:space="preserve">мптоматическим. Теперь разработан и внедрен в практику патогенетический метод лечения СМ - </w:t>
      </w:r>
      <w:proofErr w:type="spellStart"/>
      <w:r>
        <w:rPr>
          <w:rFonts w:ascii="Times New Roman" w:hAnsi="Times New Roman"/>
          <w:sz w:val="24"/>
        </w:rPr>
        <w:t>коллагеннормализующая</w:t>
      </w:r>
      <w:proofErr w:type="spellEnd"/>
      <w:r>
        <w:rPr>
          <w:rFonts w:ascii="Times New Roman" w:hAnsi="Times New Roman"/>
          <w:sz w:val="24"/>
        </w:rPr>
        <w:t xml:space="preserve"> терапия. Метоп основан на коррекции метаболизма коллагена и других компонентов соединительной ткани. Некоторые исследователи считают патогенети</w:t>
      </w:r>
      <w:r>
        <w:rPr>
          <w:rFonts w:ascii="Times New Roman" w:hAnsi="Times New Roman"/>
          <w:sz w:val="24"/>
        </w:rPr>
        <w:t>ческими некоторые хирургические вмешательства на хрящах, усиливающие их регенерацию.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Симптоматическое лечение </w:t>
      </w:r>
      <w:r>
        <w:rPr>
          <w:rFonts w:ascii="Times New Roman" w:hAnsi="Times New Roman"/>
          <w:sz w:val="24"/>
        </w:rPr>
        <w:t>проявлений СМ касается коррекции зрения и поражений скелета. Офтальмологические нарушения (миопия, астигматизм) подлежат коррекции с помощью очков</w:t>
      </w:r>
      <w:r>
        <w:rPr>
          <w:rFonts w:ascii="Times New Roman" w:hAnsi="Times New Roman"/>
          <w:sz w:val="24"/>
        </w:rPr>
        <w:t xml:space="preserve"> либо контактных линз, устранению подлежат в первую очередь воронкообразная и </w:t>
      </w:r>
      <w:proofErr w:type="spellStart"/>
      <w:r>
        <w:rPr>
          <w:rFonts w:ascii="Times New Roman" w:hAnsi="Times New Roman"/>
          <w:sz w:val="24"/>
        </w:rPr>
        <w:t>килевидная</w:t>
      </w:r>
      <w:proofErr w:type="spellEnd"/>
      <w:r>
        <w:rPr>
          <w:rFonts w:ascii="Times New Roman" w:hAnsi="Times New Roman"/>
          <w:sz w:val="24"/>
        </w:rPr>
        <w:t xml:space="preserve"> деформация грудной клетки.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Наиболее частым поражением скелета является воронкообразная деформация грудной клетки (ВДГК). В основе ВДГК лежит </w:t>
      </w:r>
      <w:proofErr w:type="spellStart"/>
      <w:r>
        <w:rPr>
          <w:rFonts w:ascii="Times New Roman" w:hAnsi="Times New Roman"/>
          <w:sz w:val="24"/>
        </w:rPr>
        <w:t>дизгистогенез</w:t>
      </w:r>
      <w:proofErr w:type="spellEnd"/>
      <w:r>
        <w:rPr>
          <w:rFonts w:ascii="Times New Roman" w:hAnsi="Times New Roman"/>
          <w:sz w:val="24"/>
        </w:rPr>
        <w:t xml:space="preserve"> реберных хря</w:t>
      </w:r>
      <w:r>
        <w:rPr>
          <w:rFonts w:ascii="Times New Roman" w:hAnsi="Times New Roman"/>
          <w:sz w:val="24"/>
        </w:rPr>
        <w:t xml:space="preserve">щей при опережении их роста; выраженность деформации определяют с помощью индекса </w:t>
      </w:r>
      <w:proofErr w:type="spellStart"/>
      <w:r>
        <w:rPr>
          <w:rFonts w:ascii="Times New Roman" w:hAnsi="Times New Roman"/>
          <w:sz w:val="24"/>
        </w:rPr>
        <w:t>Гижицкой</w:t>
      </w:r>
      <w:proofErr w:type="spellEnd"/>
      <w:r>
        <w:rPr>
          <w:rFonts w:ascii="Times New Roman" w:hAnsi="Times New Roman"/>
          <w:sz w:val="24"/>
        </w:rPr>
        <w:t>. Лечение ВДГК только хирургическое - торакопластика (попытки консервативной профилактики и лечения к успеху не приводят).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Показания к торакопластике функциональные. </w:t>
      </w:r>
      <w:r>
        <w:rPr>
          <w:rFonts w:ascii="Times New Roman" w:hAnsi="Times New Roman"/>
          <w:sz w:val="24"/>
        </w:rPr>
        <w:t xml:space="preserve">При западении передней стенки грудной клетки происходит снижение объема грудной полости и недостаточное </w:t>
      </w:r>
      <w:proofErr w:type="spellStart"/>
      <w:r>
        <w:rPr>
          <w:rFonts w:ascii="Times New Roman" w:hAnsi="Times New Roman"/>
          <w:sz w:val="24"/>
        </w:rPr>
        <w:t>расправление</w:t>
      </w:r>
      <w:proofErr w:type="spellEnd"/>
      <w:r>
        <w:rPr>
          <w:rFonts w:ascii="Times New Roman" w:hAnsi="Times New Roman"/>
          <w:sz w:val="24"/>
        </w:rPr>
        <w:t xml:space="preserve"> легких. Это приводит к уменьшению площади альвеолярных мембран, снижению диффузии кислорода из альвеолярного воздуха в кровь. Организм комп</w:t>
      </w:r>
      <w:r>
        <w:rPr>
          <w:rFonts w:ascii="Times New Roman" w:hAnsi="Times New Roman"/>
          <w:sz w:val="24"/>
        </w:rPr>
        <w:t xml:space="preserve">енсирует это состояние усилением легочного </w:t>
      </w:r>
      <w:proofErr w:type="spellStart"/>
      <w:r>
        <w:rPr>
          <w:rFonts w:ascii="Times New Roman" w:hAnsi="Times New Roman"/>
          <w:sz w:val="24"/>
        </w:rPr>
        <w:t>кровотока</w:t>
      </w:r>
      <w:proofErr w:type="spellEnd"/>
      <w:r>
        <w:rPr>
          <w:rFonts w:ascii="Times New Roman" w:hAnsi="Times New Roman"/>
          <w:sz w:val="24"/>
        </w:rPr>
        <w:t xml:space="preserve"> (возникает перегрузка правых отделов сердца), снижением потребления кислорода за счет уменьшения массы тела и увеличением кислородной емкости крови. Торакопластика показана при воронкообразной деформации</w:t>
      </w:r>
      <w:r>
        <w:rPr>
          <w:rFonts w:ascii="Times New Roman" w:hAnsi="Times New Roman"/>
          <w:sz w:val="24"/>
        </w:rPr>
        <w:t xml:space="preserve"> грудной клетки II-III степени, а также если выявляются два из трех признаков перенапряжения </w:t>
      </w:r>
      <w:proofErr w:type="spellStart"/>
      <w:r>
        <w:rPr>
          <w:rFonts w:ascii="Times New Roman" w:hAnsi="Times New Roman"/>
          <w:sz w:val="24"/>
        </w:rPr>
        <w:t>кардиореспираторной</w:t>
      </w:r>
      <w:proofErr w:type="spellEnd"/>
      <w:r>
        <w:rPr>
          <w:rFonts w:ascii="Times New Roman" w:hAnsi="Times New Roman"/>
          <w:sz w:val="24"/>
        </w:rPr>
        <w:t xml:space="preserve"> системы: </w:t>
      </w:r>
      <w:proofErr w:type="spellStart"/>
      <w:r>
        <w:rPr>
          <w:rFonts w:ascii="Times New Roman" w:hAnsi="Times New Roman"/>
          <w:sz w:val="24"/>
        </w:rPr>
        <w:t>ЭКГ-признаки</w:t>
      </w:r>
      <w:proofErr w:type="spellEnd"/>
      <w:r>
        <w:rPr>
          <w:rFonts w:ascii="Times New Roman" w:hAnsi="Times New Roman"/>
          <w:sz w:val="24"/>
        </w:rPr>
        <w:t xml:space="preserve"> перегрузки правых отделов сердца; дефицит массы тела более чем на 20% от среднеевропейской нормы; увеличение числа эритро</w:t>
      </w:r>
      <w:r>
        <w:rPr>
          <w:rFonts w:ascii="Times New Roman" w:hAnsi="Times New Roman"/>
          <w:sz w:val="24"/>
        </w:rPr>
        <w:t>цитов крови, уровня гемоглобина и (или) цветового показателя более чем на 20% от нормы. Оперировать больных следует в возрасте старше 4 лет; оптимальный возраст для операции - 5-7 лет.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Часто возникающие у больных этой группы </w:t>
      </w:r>
      <w:proofErr w:type="spellStart"/>
      <w:r>
        <w:rPr>
          <w:rFonts w:ascii="Times New Roman" w:hAnsi="Times New Roman"/>
          <w:sz w:val="24"/>
        </w:rPr>
        <w:t>интра</w:t>
      </w:r>
      <w:proofErr w:type="spellEnd"/>
      <w:r>
        <w:rPr>
          <w:rFonts w:ascii="Times New Roman" w:hAnsi="Times New Roman"/>
          <w:sz w:val="24"/>
        </w:rPr>
        <w:t>- и послеоперационные осло</w:t>
      </w:r>
      <w:r>
        <w:rPr>
          <w:rFonts w:ascii="Times New Roman" w:hAnsi="Times New Roman"/>
          <w:sz w:val="24"/>
        </w:rPr>
        <w:t xml:space="preserve">жнения обусловливают высокую послеоперационную летальность (до 30%). В настоящее время операции осуществляются по методике </w:t>
      </w:r>
      <w:proofErr w:type="spellStart"/>
      <w:r>
        <w:rPr>
          <w:rFonts w:ascii="Times New Roman" w:hAnsi="Times New Roman"/>
          <w:sz w:val="24"/>
        </w:rPr>
        <w:t>Саламаа-Палтиа</w:t>
      </w:r>
      <w:proofErr w:type="spellEnd"/>
      <w:r>
        <w:rPr>
          <w:rFonts w:ascii="Times New Roman" w:hAnsi="Times New Roman"/>
          <w:sz w:val="24"/>
        </w:rPr>
        <w:t xml:space="preserve"> в собственной модификации. Применение </w:t>
      </w:r>
      <w:proofErr w:type="spellStart"/>
      <w:r>
        <w:rPr>
          <w:rFonts w:ascii="Times New Roman" w:hAnsi="Times New Roman"/>
          <w:sz w:val="24"/>
        </w:rPr>
        <w:t>коллагеннормализующей</w:t>
      </w:r>
      <w:proofErr w:type="spellEnd"/>
      <w:r>
        <w:rPr>
          <w:rFonts w:ascii="Times New Roman" w:hAnsi="Times New Roman"/>
          <w:sz w:val="24"/>
        </w:rPr>
        <w:t xml:space="preserve"> терапии в качестве подготовки к торакопластике более чему </w:t>
      </w:r>
      <w:r>
        <w:rPr>
          <w:rFonts w:ascii="Times New Roman" w:hAnsi="Times New Roman"/>
          <w:sz w:val="24"/>
        </w:rPr>
        <w:t>100 больных за последние 12 лет обусловило полное отсутствие летальности в этой группе.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операции по поводу </w:t>
      </w:r>
      <w:proofErr w:type="spellStart"/>
      <w:r>
        <w:rPr>
          <w:rFonts w:ascii="Times New Roman" w:hAnsi="Times New Roman"/>
          <w:sz w:val="24"/>
        </w:rPr>
        <w:t>килевидной</w:t>
      </w:r>
      <w:proofErr w:type="spellEnd"/>
      <w:r>
        <w:rPr>
          <w:rFonts w:ascii="Times New Roman" w:hAnsi="Times New Roman"/>
          <w:sz w:val="24"/>
        </w:rPr>
        <w:t xml:space="preserve"> деформации грудной клетки при СМ следует подходить еще осторожнее (</w:t>
      </w:r>
      <w:proofErr w:type="spellStart"/>
      <w:r>
        <w:rPr>
          <w:rFonts w:ascii="Times New Roman" w:hAnsi="Times New Roman"/>
          <w:sz w:val="24"/>
        </w:rPr>
        <w:t>килевидная</w:t>
      </w:r>
      <w:proofErr w:type="spellEnd"/>
      <w:r>
        <w:rPr>
          <w:rFonts w:ascii="Times New Roman" w:hAnsi="Times New Roman"/>
          <w:sz w:val="24"/>
        </w:rPr>
        <w:t xml:space="preserve"> деформация на вызывает функциональных нарушений, и показан</w:t>
      </w:r>
      <w:r>
        <w:rPr>
          <w:rFonts w:ascii="Times New Roman" w:hAnsi="Times New Roman"/>
          <w:sz w:val="24"/>
        </w:rPr>
        <w:t xml:space="preserve">ия к ее хирургической коррекции исключительно косметические). Рекомендуется методика </w:t>
      </w:r>
      <w:proofErr w:type="spellStart"/>
      <w:r>
        <w:rPr>
          <w:rFonts w:ascii="Times New Roman" w:hAnsi="Times New Roman"/>
          <w:sz w:val="24"/>
        </w:rPr>
        <w:t>Равича</w:t>
      </w:r>
      <w:proofErr w:type="spellEnd"/>
      <w:r>
        <w:rPr>
          <w:rFonts w:ascii="Times New Roman" w:hAnsi="Times New Roman"/>
          <w:sz w:val="24"/>
        </w:rPr>
        <w:t xml:space="preserve"> на фоне </w:t>
      </w:r>
      <w:proofErr w:type="spellStart"/>
      <w:r>
        <w:rPr>
          <w:rFonts w:ascii="Times New Roman" w:hAnsi="Times New Roman"/>
          <w:sz w:val="24"/>
        </w:rPr>
        <w:t>коллагеннормадизуюшей</w:t>
      </w:r>
      <w:proofErr w:type="spellEnd"/>
      <w:r>
        <w:rPr>
          <w:rFonts w:ascii="Times New Roman" w:hAnsi="Times New Roman"/>
          <w:sz w:val="24"/>
        </w:rPr>
        <w:t xml:space="preserve"> терапии.</w:t>
      </w:r>
    </w:p>
    <w:p w:rsidR="00000000" w:rsidRDefault="00E31979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последнего времени отсутствовали адекватные методы профилактики и лечения сердечно-сосудистых проявлений СМ. Назначали </w:t>
      </w:r>
      <w:proofErr w:type="spellStart"/>
      <w:r>
        <w:rPr>
          <w:rFonts w:ascii="Times New Roman" w:hAnsi="Times New Roman"/>
          <w:sz w:val="24"/>
        </w:rPr>
        <w:t>кар</w:t>
      </w:r>
      <w:r>
        <w:rPr>
          <w:rFonts w:ascii="Times New Roman" w:hAnsi="Times New Roman"/>
          <w:sz w:val="24"/>
        </w:rPr>
        <w:t>диотропоную</w:t>
      </w:r>
      <w:proofErr w:type="spellEnd"/>
      <w:r>
        <w:rPr>
          <w:rFonts w:ascii="Times New Roman" w:hAnsi="Times New Roman"/>
          <w:sz w:val="24"/>
        </w:rPr>
        <w:t xml:space="preserve"> терапию, ограничивали физическую нагрузку. При резкой </w:t>
      </w:r>
      <w:proofErr w:type="spellStart"/>
      <w:r>
        <w:rPr>
          <w:rFonts w:ascii="Times New Roman" w:hAnsi="Times New Roman"/>
          <w:sz w:val="24"/>
        </w:rPr>
        <w:t>дилатации</w:t>
      </w:r>
      <w:proofErr w:type="spellEnd"/>
      <w:r>
        <w:rPr>
          <w:rFonts w:ascii="Times New Roman" w:hAnsi="Times New Roman"/>
          <w:sz w:val="24"/>
        </w:rPr>
        <w:t xml:space="preserve"> аорты и крупных сосудов с риском развития расслаивающей аневризмы некоторые хирурги выполняют операции укрепления стенки сосудов или аллопластику (эффективность их невысока).</w:t>
      </w:r>
    </w:p>
    <w:p w:rsidR="00000000" w:rsidRDefault="00E31979">
      <w:pPr>
        <w:spacing w:line="360" w:lineRule="auto"/>
        <w:jc w:val="both"/>
        <w:rPr>
          <w:szCs w:val="20"/>
        </w:rPr>
      </w:pPr>
      <w:r>
        <w:rPr>
          <w:b/>
          <w:bCs/>
          <w:szCs w:val="20"/>
        </w:rPr>
        <w:t>Серде</w:t>
      </w:r>
      <w:r>
        <w:rPr>
          <w:b/>
          <w:bCs/>
          <w:szCs w:val="20"/>
        </w:rPr>
        <w:t xml:space="preserve">чно-сосудистые осложнения при синдроме </w:t>
      </w:r>
      <w:proofErr w:type="spellStart"/>
      <w:r>
        <w:rPr>
          <w:b/>
          <w:bCs/>
          <w:szCs w:val="20"/>
        </w:rPr>
        <w:t>Марфана</w:t>
      </w:r>
      <w:proofErr w:type="spellEnd"/>
      <w:r>
        <w:rPr>
          <w:b/>
          <w:bCs/>
          <w:szCs w:val="20"/>
        </w:rPr>
        <w:t xml:space="preserve">. </w:t>
      </w:r>
      <w:r>
        <w:rPr>
          <w:szCs w:val="20"/>
        </w:rPr>
        <w:t xml:space="preserve">Сердечно-сосудистые осложнения включают </w:t>
      </w:r>
      <w:proofErr w:type="spellStart"/>
      <w:r>
        <w:rPr>
          <w:szCs w:val="20"/>
        </w:rPr>
        <w:t>пролапс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регургитацию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митрального</w:t>
      </w:r>
      <w:proofErr w:type="spellEnd"/>
      <w:r>
        <w:rPr>
          <w:szCs w:val="20"/>
        </w:rPr>
        <w:t xml:space="preserve"> клапана, </w:t>
      </w:r>
      <w:proofErr w:type="spellStart"/>
      <w:r>
        <w:rPr>
          <w:szCs w:val="20"/>
        </w:rPr>
        <w:t>дилатацию</w:t>
      </w:r>
      <w:proofErr w:type="spellEnd"/>
      <w:r>
        <w:rPr>
          <w:szCs w:val="20"/>
        </w:rPr>
        <w:t xml:space="preserve"> левого желудочка и сердечную недостаточность, </w:t>
      </w:r>
      <w:proofErr w:type="spellStart"/>
      <w:r>
        <w:rPr>
          <w:szCs w:val="20"/>
        </w:rPr>
        <w:t>дилятацию</w:t>
      </w:r>
      <w:proofErr w:type="spellEnd"/>
      <w:r>
        <w:rPr>
          <w:szCs w:val="20"/>
        </w:rPr>
        <w:t xml:space="preserve"> легочной артерии, но наиболее общей причиной ухудшения сос</w:t>
      </w:r>
      <w:r>
        <w:rPr>
          <w:szCs w:val="20"/>
        </w:rPr>
        <w:t xml:space="preserve">тояния и смертности является </w:t>
      </w:r>
      <w:proofErr w:type="spellStart"/>
      <w:r>
        <w:rPr>
          <w:szCs w:val="20"/>
        </w:rPr>
        <w:t>дилятация</w:t>
      </w:r>
      <w:proofErr w:type="spellEnd"/>
      <w:r>
        <w:rPr>
          <w:szCs w:val="20"/>
        </w:rPr>
        <w:t xml:space="preserve"> корня аорты. Несостоятельность аортального клапана, обычно, как следствие </w:t>
      </w:r>
      <w:proofErr w:type="spellStart"/>
      <w:r>
        <w:rPr>
          <w:szCs w:val="20"/>
        </w:rPr>
        <w:t>дилятации</w:t>
      </w:r>
      <w:proofErr w:type="spellEnd"/>
      <w:r>
        <w:rPr>
          <w:szCs w:val="20"/>
        </w:rPr>
        <w:t xml:space="preserve"> корня аорты, и риск разрыва аорты значительно повышается, если диаметр синуса </w:t>
      </w:r>
      <w:proofErr w:type="spellStart"/>
      <w:r>
        <w:rPr>
          <w:szCs w:val="20"/>
        </w:rPr>
        <w:t>Вальсальвы</w:t>
      </w:r>
      <w:proofErr w:type="spellEnd"/>
      <w:r>
        <w:rPr>
          <w:szCs w:val="20"/>
        </w:rPr>
        <w:t xml:space="preserve"> превышает 5,5 см. Окклюзия коронарных стволо</w:t>
      </w:r>
      <w:r>
        <w:rPr>
          <w:szCs w:val="20"/>
        </w:rPr>
        <w:t xml:space="preserve">в расслаивающимся корнем аорты может привести к инфаркту миокарда. Улучшение медицинской помощи, в том числе хирургических вмешательств, позволили снизить смертность при синдроме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(70% в 1972 против 48% в 1995), и увеличить среднюю продолжительность</w:t>
      </w:r>
      <w:r>
        <w:rPr>
          <w:szCs w:val="20"/>
        </w:rPr>
        <w:t xml:space="preserve"> жизни (32 года в 1972 по сравнению с 45 годами в 1998). Факторами риска расслоения аорты являются нарастающий диаметр аорты, увеличивающаяся протяженность </w:t>
      </w:r>
      <w:proofErr w:type="spellStart"/>
      <w:r>
        <w:rPr>
          <w:szCs w:val="20"/>
        </w:rPr>
        <w:t>дилятации</w:t>
      </w:r>
      <w:proofErr w:type="spellEnd"/>
      <w:r>
        <w:rPr>
          <w:szCs w:val="20"/>
        </w:rPr>
        <w:t xml:space="preserve"> аорты, выраженная </w:t>
      </w:r>
      <w:proofErr w:type="spellStart"/>
      <w:r>
        <w:rPr>
          <w:szCs w:val="20"/>
        </w:rPr>
        <w:t>дилятация</w:t>
      </w:r>
      <w:proofErr w:type="spellEnd"/>
      <w:r>
        <w:rPr>
          <w:szCs w:val="20"/>
        </w:rPr>
        <w:t xml:space="preserve"> и накопление случаев расслоения аорты в семье.</w:t>
      </w:r>
    </w:p>
    <w:p w:rsidR="00000000" w:rsidRDefault="00E31979">
      <w:pPr>
        <w:spacing w:line="360" w:lineRule="auto"/>
        <w:jc w:val="both"/>
        <w:rPr>
          <w:szCs w:val="20"/>
        </w:rPr>
      </w:pPr>
      <w:r>
        <w:rPr>
          <w:szCs w:val="20"/>
        </w:rPr>
        <w:br/>
      </w:r>
      <w:r>
        <w:rPr>
          <w:b/>
          <w:bCs/>
          <w:szCs w:val="20"/>
        </w:rPr>
        <w:t>Лабораторные н</w:t>
      </w:r>
      <w:r>
        <w:rPr>
          <w:b/>
          <w:bCs/>
          <w:szCs w:val="20"/>
        </w:rPr>
        <w:t xml:space="preserve">аходки. </w:t>
      </w:r>
      <w:r>
        <w:rPr>
          <w:szCs w:val="20"/>
        </w:rPr>
        <w:t xml:space="preserve">Аорта больных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гистологически</w:t>
      </w:r>
      <w:proofErr w:type="spellEnd"/>
      <w:r>
        <w:rPr>
          <w:szCs w:val="20"/>
        </w:rPr>
        <w:t xml:space="preserve"> характеризуется фрагментацией и беспорядочным расположением эластичных фибрилл, особенно в гладкомышечных клетках. Коллаген и </w:t>
      </w:r>
      <w:proofErr w:type="spellStart"/>
      <w:r>
        <w:rPr>
          <w:szCs w:val="20"/>
        </w:rPr>
        <w:t>мукополисахариды</w:t>
      </w:r>
      <w:proofErr w:type="spellEnd"/>
      <w:r>
        <w:rPr>
          <w:szCs w:val="20"/>
        </w:rPr>
        <w:t>, накапливающиеся между клетками, создают картину "кистоз</w:t>
      </w:r>
      <w:r>
        <w:rPr>
          <w:szCs w:val="20"/>
        </w:rPr>
        <w:t xml:space="preserve">ной медиальной дегенерации", хотя истинные кисты отсутствуют. </w:t>
      </w:r>
      <w:proofErr w:type="spellStart"/>
      <w:r>
        <w:rPr>
          <w:szCs w:val="20"/>
        </w:rPr>
        <w:t>Мукополисахариды</w:t>
      </w:r>
      <w:proofErr w:type="spellEnd"/>
      <w:r>
        <w:rPr>
          <w:szCs w:val="20"/>
        </w:rPr>
        <w:t xml:space="preserve">, откладывающиеся в клапанах могут стать причиной утолщения их стенок. Молекулярной основой этих изменений является аномальный </w:t>
      </w:r>
      <w:proofErr w:type="spellStart"/>
      <w:r>
        <w:rPr>
          <w:szCs w:val="20"/>
        </w:rPr>
        <w:t>фибриллин</w:t>
      </w:r>
      <w:proofErr w:type="spellEnd"/>
      <w:r>
        <w:rPr>
          <w:szCs w:val="20"/>
        </w:rPr>
        <w:t xml:space="preserve"> – важный компонент </w:t>
      </w:r>
      <w:proofErr w:type="spellStart"/>
      <w:r>
        <w:rPr>
          <w:szCs w:val="20"/>
        </w:rPr>
        <w:t>миофибрилл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Фибриллин</w:t>
      </w:r>
      <w:proofErr w:type="spellEnd"/>
      <w:r>
        <w:rPr>
          <w:szCs w:val="20"/>
        </w:rPr>
        <w:t xml:space="preserve"> </w:t>
      </w:r>
      <w:r>
        <w:rPr>
          <w:szCs w:val="20"/>
        </w:rPr>
        <w:t xml:space="preserve">представляет собой гликопротеин с массой 350 </w:t>
      </w:r>
      <w:proofErr w:type="spellStart"/>
      <w:r>
        <w:rPr>
          <w:szCs w:val="20"/>
        </w:rPr>
        <w:t>kD</w:t>
      </w:r>
      <w:proofErr w:type="spellEnd"/>
      <w:r>
        <w:rPr>
          <w:szCs w:val="20"/>
        </w:rPr>
        <w:t xml:space="preserve">. Он кодируется геном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1, </w:t>
      </w:r>
      <w:proofErr w:type="spellStart"/>
      <w:r>
        <w:rPr>
          <w:szCs w:val="20"/>
        </w:rPr>
        <w:t>картированным</w:t>
      </w:r>
      <w:proofErr w:type="spellEnd"/>
      <w:r>
        <w:rPr>
          <w:szCs w:val="20"/>
        </w:rPr>
        <w:t xml:space="preserve"> в локусе15q21.1. Мутации этого гена находят у 66% больных, отобранных по критериям нозологии </w:t>
      </w:r>
      <w:proofErr w:type="spellStart"/>
      <w:r>
        <w:rPr>
          <w:szCs w:val="20"/>
        </w:rPr>
        <w:t>Ghent</w:t>
      </w:r>
      <w:proofErr w:type="spellEnd"/>
      <w:r>
        <w:rPr>
          <w:szCs w:val="20"/>
        </w:rPr>
        <w:t xml:space="preserve">. Фенотип больных, в большинстве случаев, обусловлен </w:t>
      </w:r>
      <w:proofErr w:type="spellStart"/>
      <w:r>
        <w:rPr>
          <w:szCs w:val="20"/>
        </w:rPr>
        <w:t>миссенс</w:t>
      </w:r>
      <w:proofErr w:type="spellEnd"/>
      <w:r>
        <w:rPr>
          <w:szCs w:val="20"/>
        </w:rPr>
        <w:t xml:space="preserve"> </w:t>
      </w:r>
      <w:r>
        <w:rPr>
          <w:szCs w:val="20"/>
        </w:rPr>
        <w:t xml:space="preserve">мутациями, приводящими к нарушению взаиморасположения </w:t>
      </w:r>
      <w:proofErr w:type="spellStart"/>
      <w:r>
        <w:rPr>
          <w:szCs w:val="20"/>
        </w:rPr>
        <w:t>микрофибрилл</w:t>
      </w:r>
      <w:proofErr w:type="spellEnd"/>
      <w:r>
        <w:rPr>
          <w:szCs w:val="20"/>
        </w:rPr>
        <w:t xml:space="preserve">. Причиной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может быть также недостаток </w:t>
      </w:r>
      <w:proofErr w:type="spellStart"/>
      <w:r>
        <w:rPr>
          <w:szCs w:val="20"/>
        </w:rPr>
        <w:t>фибриллина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гаплодефицит</w:t>
      </w:r>
      <w:proofErr w:type="spellEnd"/>
      <w:r>
        <w:rPr>
          <w:szCs w:val="20"/>
        </w:rPr>
        <w:t>), обусловленный нонсенс мутациями и сдвигами рамки считывания. Мутации в одном и том же кодоне дают широкую в</w:t>
      </w:r>
      <w:r>
        <w:rPr>
          <w:szCs w:val="20"/>
        </w:rPr>
        <w:t xml:space="preserve">ариабельность клинических проявлений – от </w:t>
      </w:r>
      <w:proofErr w:type="spellStart"/>
      <w:r>
        <w:rPr>
          <w:szCs w:val="20"/>
        </w:rPr>
        <w:t>неонатальной</w:t>
      </w:r>
      <w:proofErr w:type="spellEnd"/>
      <w:r>
        <w:rPr>
          <w:szCs w:val="20"/>
        </w:rPr>
        <w:t xml:space="preserve"> формы до классической картины у взрослых. Мутации центрального региона (</w:t>
      </w:r>
      <w:proofErr w:type="spellStart"/>
      <w:r>
        <w:rPr>
          <w:szCs w:val="20"/>
        </w:rPr>
        <w:t>экзоны</w:t>
      </w:r>
      <w:proofErr w:type="spellEnd"/>
      <w:r>
        <w:rPr>
          <w:szCs w:val="20"/>
        </w:rPr>
        <w:t xml:space="preserve"> 24-32), названного "</w:t>
      </w:r>
      <w:proofErr w:type="spellStart"/>
      <w:r>
        <w:rPr>
          <w:szCs w:val="20"/>
        </w:rPr>
        <w:t>неонатальным</w:t>
      </w:r>
      <w:proofErr w:type="spellEnd"/>
      <w:r>
        <w:rPr>
          <w:szCs w:val="20"/>
        </w:rPr>
        <w:t xml:space="preserve">", ассоциируются с различными фенотипами - от тяжелого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у новорожденных до</w:t>
      </w:r>
      <w:r>
        <w:rPr>
          <w:szCs w:val="20"/>
        </w:rPr>
        <w:t xml:space="preserve"> изолированной эктопии хрусталиков.</w:t>
      </w:r>
    </w:p>
    <w:p w:rsidR="00000000" w:rsidRDefault="00E31979">
      <w:pPr>
        <w:spacing w:line="360" w:lineRule="auto"/>
        <w:jc w:val="both"/>
        <w:rPr>
          <w:szCs w:val="20"/>
        </w:rPr>
      </w:pPr>
      <w:r>
        <w:rPr>
          <w:szCs w:val="20"/>
        </w:rPr>
        <w:br/>
      </w:r>
      <w:r>
        <w:rPr>
          <w:b/>
          <w:bCs/>
          <w:szCs w:val="20"/>
        </w:rPr>
        <w:t xml:space="preserve">Патофизиология и консервативное лечение. </w:t>
      </w:r>
      <w:r>
        <w:rPr>
          <w:szCs w:val="20"/>
        </w:rPr>
        <w:t>Дегенерация фибрилл аорты приводит к снижению ее эластичности и увеличению скорости пульсовой волны. Это может быть подтверждено ЭХО-КГ в любом возрасте, или МРТ, хотя у детей он</w:t>
      </w:r>
      <w:r>
        <w:rPr>
          <w:szCs w:val="20"/>
        </w:rPr>
        <w:t xml:space="preserve">а менее показательна. В норме, с возрастом, аорта постепенно расширяется и становится менее упругой, но при синдроме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возрастные изменения более заметны. В начале 1970-х было показано, что риск расслоения аорты у больных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можно сн</w:t>
      </w:r>
      <w:r>
        <w:rPr>
          <w:szCs w:val="20"/>
        </w:rPr>
        <w:t xml:space="preserve">изить путем применения </w:t>
      </w:r>
      <w:proofErr w:type="spellStart"/>
      <w:r>
        <w:rPr>
          <w:szCs w:val="20"/>
        </w:rPr>
        <w:t>бета-блокаторов</w:t>
      </w:r>
      <w:proofErr w:type="spellEnd"/>
      <w:r>
        <w:rPr>
          <w:szCs w:val="20"/>
        </w:rPr>
        <w:t xml:space="preserve">, уменьшающих систолическое давление. </w:t>
      </w:r>
      <w:proofErr w:type="spellStart"/>
      <w:r>
        <w:rPr>
          <w:szCs w:val="20"/>
        </w:rPr>
        <w:t>Рандомизированное</w:t>
      </w:r>
      <w:proofErr w:type="spellEnd"/>
      <w:r>
        <w:rPr>
          <w:szCs w:val="20"/>
        </w:rPr>
        <w:t xml:space="preserve"> исследование </w:t>
      </w:r>
      <w:proofErr w:type="spellStart"/>
      <w:r>
        <w:rPr>
          <w:szCs w:val="20"/>
        </w:rPr>
        <w:t>пропранолола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индерал</w:t>
      </w:r>
      <w:proofErr w:type="spellEnd"/>
      <w:r>
        <w:rPr>
          <w:szCs w:val="20"/>
        </w:rPr>
        <w:t xml:space="preserve"> в отечественной практике), проведенное на группе из 70-ти больных подросткового и взрослого возраста, продемонстрировало снижен</w:t>
      </w:r>
      <w:r>
        <w:rPr>
          <w:szCs w:val="20"/>
        </w:rPr>
        <w:t xml:space="preserve">ие частоты расслоения аорты и других осложнений. Ретроспективное гистологическое исследование 113 пациентов, леченных </w:t>
      </w:r>
      <w:proofErr w:type="spellStart"/>
      <w:r>
        <w:rPr>
          <w:szCs w:val="20"/>
        </w:rPr>
        <w:t>пропранололом</w:t>
      </w:r>
      <w:proofErr w:type="spellEnd"/>
      <w:r>
        <w:rPr>
          <w:szCs w:val="20"/>
        </w:rPr>
        <w:t xml:space="preserve"> или </w:t>
      </w:r>
      <w:proofErr w:type="spellStart"/>
      <w:r>
        <w:rPr>
          <w:szCs w:val="20"/>
        </w:rPr>
        <w:t>атенололом</w:t>
      </w:r>
      <w:proofErr w:type="spellEnd"/>
      <w:r>
        <w:rPr>
          <w:szCs w:val="20"/>
        </w:rPr>
        <w:t xml:space="preserve">, дало аналогичный результат. Недавно проведенные исследования показали, что у больных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про</w:t>
      </w:r>
      <w:r>
        <w:rPr>
          <w:szCs w:val="20"/>
        </w:rPr>
        <w:t>пранолол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атенолол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метопролол</w:t>
      </w:r>
      <w:proofErr w:type="spellEnd"/>
      <w:r>
        <w:rPr>
          <w:szCs w:val="20"/>
        </w:rPr>
        <w:t xml:space="preserve"> увеличивают эластичность и снижают </w:t>
      </w:r>
      <w:proofErr w:type="spellStart"/>
      <w:r>
        <w:rPr>
          <w:szCs w:val="20"/>
        </w:rPr>
        <w:t>резистентность</w:t>
      </w:r>
      <w:proofErr w:type="spellEnd"/>
      <w:r>
        <w:rPr>
          <w:szCs w:val="20"/>
        </w:rPr>
        <w:t xml:space="preserve"> аорты, а также скорость пульсовой волны. Наряду с этим отмечено пока необъяснимое отсутствие ответа на терапию у некоторых больных. Лечение имеет более весомое значение у мол</w:t>
      </w:r>
      <w:r>
        <w:rPr>
          <w:szCs w:val="20"/>
        </w:rPr>
        <w:t xml:space="preserve">одых больных с небольшим увеличением диаметра аорты. На основе этих исследований были разработаны рекомендации по ведению больных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>, представленные ниже.</w:t>
      </w:r>
    </w:p>
    <w:p w:rsidR="00000000" w:rsidRDefault="00E3197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Для пациента любого возраста,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, имеющим </w:t>
      </w:r>
      <w:proofErr w:type="spellStart"/>
      <w:r>
        <w:rPr>
          <w:szCs w:val="20"/>
        </w:rPr>
        <w:t>дилятацию</w:t>
      </w:r>
      <w:proofErr w:type="spellEnd"/>
      <w:r>
        <w:rPr>
          <w:szCs w:val="20"/>
        </w:rPr>
        <w:t xml:space="preserve"> аорты, следует </w:t>
      </w:r>
      <w:r>
        <w:rPr>
          <w:szCs w:val="20"/>
        </w:rPr>
        <w:t xml:space="preserve">предусмотреть лечение </w:t>
      </w:r>
      <w:proofErr w:type="spellStart"/>
      <w:r>
        <w:rPr>
          <w:szCs w:val="20"/>
        </w:rPr>
        <w:t>бета-блокаторами</w:t>
      </w:r>
      <w:proofErr w:type="spellEnd"/>
      <w:r>
        <w:rPr>
          <w:szCs w:val="20"/>
        </w:rPr>
        <w:t xml:space="preserve">, учитывая что наибольший профилактический эффект отмечен при диаметре аорты &lt; 4 см. </w:t>
      </w:r>
    </w:p>
    <w:p w:rsidR="00000000" w:rsidRDefault="00E3197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Факторами риска расслоения </w:t>
      </w:r>
      <w:proofErr w:type="spellStart"/>
      <w:r>
        <w:rPr>
          <w:szCs w:val="20"/>
        </w:rPr>
        <w:t>аотры</w:t>
      </w:r>
      <w:proofErr w:type="spellEnd"/>
      <w:r>
        <w:rPr>
          <w:szCs w:val="20"/>
        </w:rPr>
        <w:t xml:space="preserve"> при синдроме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являются: диаметр аорты &gt; 5 см; распространение </w:t>
      </w:r>
      <w:proofErr w:type="spellStart"/>
      <w:r>
        <w:rPr>
          <w:szCs w:val="20"/>
        </w:rPr>
        <w:t>дилатации</w:t>
      </w:r>
      <w:proofErr w:type="spellEnd"/>
      <w:r>
        <w:rPr>
          <w:szCs w:val="20"/>
        </w:rPr>
        <w:t xml:space="preserve"> за пределы синуса </w:t>
      </w:r>
      <w:proofErr w:type="spellStart"/>
      <w:r>
        <w:rPr>
          <w:szCs w:val="20"/>
        </w:rPr>
        <w:t>Ва</w:t>
      </w:r>
      <w:r>
        <w:rPr>
          <w:szCs w:val="20"/>
        </w:rPr>
        <w:t>льсальвы</w:t>
      </w:r>
      <w:proofErr w:type="spellEnd"/>
      <w:r>
        <w:rPr>
          <w:szCs w:val="20"/>
        </w:rPr>
        <w:t xml:space="preserve">; быстро прогрессирующая </w:t>
      </w:r>
      <w:proofErr w:type="spellStart"/>
      <w:r>
        <w:rPr>
          <w:szCs w:val="20"/>
        </w:rPr>
        <w:t>дилятация</w:t>
      </w:r>
      <w:proofErr w:type="spellEnd"/>
      <w:r>
        <w:rPr>
          <w:szCs w:val="20"/>
        </w:rPr>
        <w:t xml:space="preserve"> (&gt; 5% или 2 мм в год, у взрослых); семейные случаи расслоения аорты.</w:t>
      </w:r>
    </w:p>
    <w:p w:rsidR="00000000" w:rsidRDefault="00E3197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Все пациенты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ежегодно должны проходить клинический осмотр и </w:t>
      </w:r>
      <w:proofErr w:type="spellStart"/>
      <w:r>
        <w:rPr>
          <w:szCs w:val="20"/>
        </w:rPr>
        <w:t>трансторакальную</w:t>
      </w:r>
      <w:proofErr w:type="spellEnd"/>
      <w:r>
        <w:rPr>
          <w:szCs w:val="20"/>
        </w:rPr>
        <w:t xml:space="preserve"> ЭХО-КГ. У детей ЭХО-КГ рекомендуется проводить </w:t>
      </w:r>
      <w:r>
        <w:rPr>
          <w:szCs w:val="20"/>
        </w:rPr>
        <w:t xml:space="preserve">с интервалом 6-12 месяцев, в зависимости от диаметра и скорости </w:t>
      </w:r>
      <w:proofErr w:type="spellStart"/>
      <w:r>
        <w:rPr>
          <w:szCs w:val="20"/>
        </w:rPr>
        <w:t>дилятации</w:t>
      </w:r>
      <w:proofErr w:type="spellEnd"/>
      <w:r>
        <w:rPr>
          <w:szCs w:val="20"/>
        </w:rPr>
        <w:t xml:space="preserve"> аорты.</w:t>
      </w:r>
    </w:p>
    <w:p w:rsidR="00000000" w:rsidRDefault="00E3197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 xml:space="preserve">Профилактическое хирургическое вмешательство на аорте должно быть предпринято, если диаметр синуса </w:t>
      </w:r>
      <w:proofErr w:type="spellStart"/>
      <w:r>
        <w:rPr>
          <w:szCs w:val="20"/>
        </w:rPr>
        <w:t>Вальсальвы</w:t>
      </w:r>
      <w:proofErr w:type="spellEnd"/>
      <w:r>
        <w:rPr>
          <w:szCs w:val="20"/>
        </w:rPr>
        <w:t xml:space="preserve"> превышает 5,5 см у взрослых и 5,0 см у детей.</w:t>
      </w:r>
    </w:p>
    <w:p w:rsidR="00000000" w:rsidRDefault="00E3197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>Беременные с синдро</w:t>
      </w:r>
      <w:r>
        <w:rPr>
          <w:szCs w:val="20"/>
        </w:rPr>
        <w:t xml:space="preserve">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имеют риск расслоения аорты, если ее диаметр превышает 4 см. В таких случаях показан мониторинг функции сердечно-сосудистой системы в течение беременности и родов.</w:t>
      </w:r>
    </w:p>
    <w:p w:rsidR="00000000" w:rsidRDefault="00E31979">
      <w:pPr>
        <w:spacing w:after="240" w:line="360" w:lineRule="auto"/>
        <w:jc w:val="both"/>
        <w:rPr>
          <w:szCs w:val="20"/>
        </w:rPr>
      </w:pPr>
      <w:r>
        <w:rPr>
          <w:szCs w:val="20"/>
        </w:rPr>
        <w:t xml:space="preserve">Наряду с этим следует учитывать что, </w:t>
      </w:r>
      <w:proofErr w:type="spellStart"/>
      <w:r>
        <w:rPr>
          <w:szCs w:val="20"/>
        </w:rPr>
        <w:t>бета-блокаторы</w:t>
      </w:r>
      <w:proofErr w:type="spellEnd"/>
      <w:r>
        <w:rPr>
          <w:szCs w:val="20"/>
        </w:rPr>
        <w:t xml:space="preserve"> показаны не всем пациентам. </w:t>
      </w:r>
      <w:r>
        <w:rPr>
          <w:szCs w:val="20"/>
        </w:rPr>
        <w:t xml:space="preserve">Их не рекомендуется применять при бронхиальной астме, сердечной недостаточности и </w:t>
      </w:r>
      <w:proofErr w:type="spellStart"/>
      <w:r>
        <w:rPr>
          <w:szCs w:val="20"/>
        </w:rPr>
        <w:t>брадиаритмии</w:t>
      </w:r>
      <w:proofErr w:type="spellEnd"/>
      <w:r>
        <w:rPr>
          <w:szCs w:val="20"/>
        </w:rPr>
        <w:t xml:space="preserve">. В таких случаях можно использовать антагонисты кальция или ингибиторы </w:t>
      </w:r>
      <w:proofErr w:type="spellStart"/>
      <w:r>
        <w:rPr>
          <w:szCs w:val="20"/>
        </w:rPr>
        <w:t>ангиотензин</w:t>
      </w:r>
      <w:proofErr w:type="spellEnd"/>
      <w:r>
        <w:rPr>
          <w:szCs w:val="20"/>
        </w:rPr>
        <w:t xml:space="preserve"> конвертирующего фермента, хотя пока это лишь теоретические предположения. На к</w:t>
      </w:r>
      <w:r>
        <w:rPr>
          <w:szCs w:val="20"/>
        </w:rPr>
        <w:t xml:space="preserve">ультуре клеток аорты больных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показано, что ингибиторы </w:t>
      </w:r>
      <w:proofErr w:type="spellStart"/>
      <w:r>
        <w:rPr>
          <w:szCs w:val="20"/>
        </w:rPr>
        <w:t>ангиотензин</w:t>
      </w:r>
      <w:proofErr w:type="spellEnd"/>
      <w:r>
        <w:rPr>
          <w:szCs w:val="20"/>
        </w:rPr>
        <w:t xml:space="preserve"> конвертирующего фермента и </w:t>
      </w:r>
      <w:proofErr w:type="spellStart"/>
      <w:r>
        <w:rPr>
          <w:szCs w:val="20"/>
        </w:rPr>
        <w:t>блокаторы</w:t>
      </w:r>
      <w:proofErr w:type="spellEnd"/>
      <w:r>
        <w:rPr>
          <w:szCs w:val="20"/>
        </w:rPr>
        <w:t xml:space="preserve"> рецепторов </w:t>
      </w:r>
      <w:proofErr w:type="spellStart"/>
      <w:r>
        <w:rPr>
          <w:szCs w:val="20"/>
        </w:rPr>
        <w:t>ангиотензина</w:t>
      </w:r>
      <w:proofErr w:type="spellEnd"/>
      <w:r>
        <w:rPr>
          <w:szCs w:val="20"/>
        </w:rPr>
        <w:t xml:space="preserve"> II препятствуют </w:t>
      </w:r>
      <w:proofErr w:type="spellStart"/>
      <w:r>
        <w:rPr>
          <w:szCs w:val="20"/>
        </w:rPr>
        <w:t>апоптозу</w:t>
      </w:r>
      <w:proofErr w:type="spellEnd"/>
      <w:r>
        <w:rPr>
          <w:szCs w:val="20"/>
        </w:rPr>
        <w:t xml:space="preserve"> гладкомышечных клеток сосудов.</w:t>
      </w:r>
    </w:p>
    <w:p w:rsidR="00000000" w:rsidRDefault="00E31979">
      <w:pPr>
        <w:spacing w:after="240" w:line="360" w:lineRule="auto"/>
        <w:jc w:val="both"/>
        <w:rPr>
          <w:szCs w:val="20"/>
        </w:rPr>
      </w:pPr>
      <w:r>
        <w:rPr>
          <w:szCs w:val="20"/>
        </w:rPr>
        <w:br/>
      </w:r>
      <w:r>
        <w:rPr>
          <w:b/>
          <w:bCs/>
          <w:szCs w:val="20"/>
        </w:rPr>
        <w:t xml:space="preserve">Хирургическое лечение. </w:t>
      </w:r>
      <w:r>
        <w:rPr>
          <w:szCs w:val="20"/>
        </w:rPr>
        <w:t xml:space="preserve">Обычно </w:t>
      </w:r>
      <w:proofErr w:type="spellStart"/>
      <w:r>
        <w:rPr>
          <w:szCs w:val="20"/>
        </w:rPr>
        <w:t>дилятация</w:t>
      </w:r>
      <w:proofErr w:type="spellEnd"/>
      <w:r>
        <w:rPr>
          <w:szCs w:val="20"/>
        </w:rPr>
        <w:t xml:space="preserve"> аорты, ведущ</w:t>
      </w:r>
      <w:r>
        <w:rPr>
          <w:szCs w:val="20"/>
        </w:rPr>
        <w:t xml:space="preserve">ая к расслоению и/или дисфункции клапанов, в первую очередь, затрагивает синус </w:t>
      </w:r>
      <w:proofErr w:type="spellStart"/>
      <w:r>
        <w:rPr>
          <w:szCs w:val="20"/>
        </w:rPr>
        <w:t>Вальсальвы</w:t>
      </w:r>
      <w:proofErr w:type="spellEnd"/>
      <w:r>
        <w:rPr>
          <w:szCs w:val="20"/>
        </w:rPr>
        <w:t xml:space="preserve">. По мнению, основанному на многочисленных наблюдениях, раннее хирургическое вмешательство на аорте предпочтительнее позднего или проведенного неотложно. По сравнению </w:t>
      </w:r>
      <w:r>
        <w:rPr>
          <w:szCs w:val="20"/>
        </w:rPr>
        <w:t xml:space="preserve">со своими не лечеными родственниками, пациенты, получившие профилактическую хирургическую помощь, имеют большую продолжительность жизни. До недавнего времени процедурой выбора для большинства сердечно-сосудистых хирургов являлась комбинированная пересадка </w:t>
      </w:r>
      <w:r>
        <w:rPr>
          <w:szCs w:val="20"/>
        </w:rPr>
        <w:t xml:space="preserve">по </w:t>
      </w:r>
      <w:proofErr w:type="spellStart"/>
      <w:r>
        <w:rPr>
          <w:szCs w:val="20"/>
        </w:rPr>
        <w:t>Bentall</w:t>
      </w:r>
      <w:proofErr w:type="spellEnd"/>
      <w:r>
        <w:rPr>
          <w:szCs w:val="20"/>
        </w:rPr>
        <w:t xml:space="preserve">, при которой пересаживают и корень аорты, и ее клапаны. Эта процедура имеет низкую послеоперационную летальность, а продолжительность выживания составляет около пяти лет у 80% и до десяти лет у 60% больных. В 1979 году </w:t>
      </w:r>
      <w:proofErr w:type="spellStart"/>
      <w:r>
        <w:rPr>
          <w:szCs w:val="20"/>
        </w:rPr>
        <w:t>Yacoub</w:t>
      </w:r>
      <w:proofErr w:type="spellEnd"/>
      <w:r>
        <w:rPr>
          <w:szCs w:val="20"/>
        </w:rPr>
        <w:t xml:space="preserve"> с коллегами предлож</w:t>
      </w:r>
      <w:r>
        <w:rPr>
          <w:szCs w:val="20"/>
        </w:rPr>
        <w:t xml:space="preserve">или операционную технику </w:t>
      </w:r>
      <w:proofErr w:type="spellStart"/>
      <w:r>
        <w:rPr>
          <w:szCs w:val="20"/>
        </w:rPr>
        <w:t>ремоделирования</w:t>
      </w:r>
      <w:proofErr w:type="spellEnd"/>
      <w:r>
        <w:rPr>
          <w:szCs w:val="20"/>
        </w:rPr>
        <w:t xml:space="preserve"> клапанов, которая позволяет избегать длительного введения </w:t>
      </w:r>
      <w:proofErr w:type="spellStart"/>
      <w:r>
        <w:rPr>
          <w:szCs w:val="20"/>
        </w:rPr>
        <w:t>антикоагулянтов</w:t>
      </w:r>
      <w:proofErr w:type="spellEnd"/>
      <w:r>
        <w:rPr>
          <w:szCs w:val="20"/>
        </w:rPr>
        <w:t xml:space="preserve">, а в 1992 году </w:t>
      </w:r>
      <w:proofErr w:type="spellStart"/>
      <w:r>
        <w:rPr>
          <w:szCs w:val="20"/>
        </w:rPr>
        <w:t>David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Feindell</w:t>
      </w:r>
      <w:proofErr w:type="spellEnd"/>
      <w:r>
        <w:rPr>
          <w:szCs w:val="20"/>
        </w:rPr>
        <w:t xml:space="preserve"> описали альтернативную процедуру </w:t>
      </w:r>
      <w:proofErr w:type="spellStart"/>
      <w:r>
        <w:rPr>
          <w:szCs w:val="20"/>
        </w:rPr>
        <w:t>реимплантации</w:t>
      </w:r>
      <w:proofErr w:type="spellEnd"/>
      <w:r>
        <w:rPr>
          <w:szCs w:val="20"/>
        </w:rPr>
        <w:t xml:space="preserve"> клапанов аорты. Использование этих операционных методов при си</w:t>
      </w:r>
      <w:r>
        <w:rPr>
          <w:szCs w:val="20"/>
        </w:rPr>
        <w:t xml:space="preserve">ндроме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является предметом дискуссии, так как продолжающееся ухудшение состояния аортальных клапанов ведет к необходимости повторного хирургического лечения в более позднем периоде. Длительный период наблюдения за результатами случаев применения это</w:t>
      </w:r>
      <w:r>
        <w:rPr>
          <w:szCs w:val="20"/>
        </w:rPr>
        <w:t xml:space="preserve">й техники оперативного вмешательства при структурно нормальных клапанах, недостаточность которых, в основном, была обусловлена эктазией кольца, дал такие же хорошие результаты, как операция по </w:t>
      </w:r>
      <w:proofErr w:type="spellStart"/>
      <w:r>
        <w:rPr>
          <w:szCs w:val="20"/>
        </w:rPr>
        <w:t>Bentall</w:t>
      </w:r>
      <w:proofErr w:type="spellEnd"/>
      <w:r>
        <w:rPr>
          <w:szCs w:val="20"/>
        </w:rPr>
        <w:t>. Это следует учитывать при выборе тактики лечения у дет</w:t>
      </w:r>
      <w:r>
        <w:rPr>
          <w:szCs w:val="20"/>
        </w:rPr>
        <w:t xml:space="preserve">ей, женщин и пациентов, имеющих противопоказания к применению </w:t>
      </w:r>
      <w:proofErr w:type="spellStart"/>
      <w:r>
        <w:rPr>
          <w:szCs w:val="20"/>
        </w:rPr>
        <w:t>антикоагулянтов</w:t>
      </w:r>
      <w:proofErr w:type="spellEnd"/>
      <w:r>
        <w:rPr>
          <w:szCs w:val="20"/>
        </w:rPr>
        <w:t xml:space="preserve">. С возрастом, у больных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могут появляться аневризмы какой-либо части аортального русла, которые также требуют хирургического лечения. Анализ выборки больных по</w:t>
      </w:r>
      <w:r>
        <w:rPr>
          <w:szCs w:val="20"/>
        </w:rPr>
        <w:t xml:space="preserve">казал, что такие аневризмы развиваются у 70%. Исходя из этого, большинство центров по лечению синдрома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рекомендует применять ?-</w:t>
      </w:r>
      <w:proofErr w:type="spellStart"/>
      <w:r>
        <w:rPr>
          <w:szCs w:val="20"/>
        </w:rPr>
        <w:t>блокаторы</w:t>
      </w:r>
      <w:proofErr w:type="spellEnd"/>
      <w:r>
        <w:rPr>
          <w:szCs w:val="20"/>
        </w:rPr>
        <w:t xml:space="preserve"> в течение длительного времени после операции. При синдроме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могут поражаться и другие клапаны сердца, пр</w:t>
      </w:r>
      <w:r>
        <w:rPr>
          <w:szCs w:val="20"/>
        </w:rPr>
        <w:t xml:space="preserve">иводя к нарушениям, требующим оперативного вмешательства. Так, у 10% больных, нуждающихся в хирургической коррекции корня аорты, возникает необходимость замены </w:t>
      </w:r>
      <w:proofErr w:type="spellStart"/>
      <w:r>
        <w:rPr>
          <w:szCs w:val="20"/>
        </w:rPr>
        <w:t>митрального</w:t>
      </w:r>
      <w:proofErr w:type="spellEnd"/>
      <w:r>
        <w:rPr>
          <w:szCs w:val="20"/>
        </w:rPr>
        <w:t xml:space="preserve"> клапана.</w:t>
      </w:r>
    </w:p>
    <w:p w:rsidR="00000000" w:rsidRDefault="00E31979">
      <w:pPr>
        <w:spacing w:after="240" w:line="360" w:lineRule="auto"/>
        <w:jc w:val="both"/>
        <w:rPr>
          <w:szCs w:val="20"/>
        </w:rPr>
      </w:pPr>
      <w:r>
        <w:rPr>
          <w:szCs w:val="20"/>
        </w:rPr>
        <w:br/>
      </w:r>
      <w:r>
        <w:rPr>
          <w:b/>
          <w:bCs/>
          <w:szCs w:val="20"/>
        </w:rPr>
        <w:t xml:space="preserve">Синдром </w:t>
      </w:r>
      <w:proofErr w:type="spellStart"/>
      <w:r>
        <w:rPr>
          <w:b/>
          <w:bCs/>
          <w:szCs w:val="20"/>
        </w:rPr>
        <w:t>Марфана</w:t>
      </w:r>
      <w:proofErr w:type="spellEnd"/>
      <w:r>
        <w:rPr>
          <w:b/>
          <w:bCs/>
          <w:szCs w:val="20"/>
        </w:rPr>
        <w:t xml:space="preserve"> и беременность. </w:t>
      </w:r>
      <w:r>
        <w:rPr>
          <w:szCs w:val="20"/>
        </w:rPr>
        <w:t xml:space="preserve">Беременность у женщин с синдромом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</w:t>
      </w:r>
      <w:r>
        <w:rPr>
          <w:szCs w:val="20"/>
        </w:rPr>
        <w:t xml:space="preserve">ставит перед врачами две проблемы – риск развития сердечно-сосудистых осложнений у матери и 50%-й риск передачи болезни плоду. Риск расслоения аорты при беременности может повышаться из-за задержки доставки коллагена и эластина в аорту, обусловленной </w:t>
      </w:r>
      <w:proofErr w:type="spellStart"/>
      <w:r>
        <w:rPr>
          <w:szCs w:val="20"/>
        </w:rPr>
        <w:t>гипер</w:t>
      </w:r>
      <w:r>
        <w:rPr>
          <w:szCs w:val="20"/>
        </w:rPr>
        <w:t>секрецией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эстрогенов</w:t>
      </w:r>
      <w:proofErr w:type="spellEnd"/>
      <w:r>
        <w:rPr>
          <w:szCs w:val="20"/>
        </w:rPr>
        <w:t xml:space="preserve">, а также </w:t>
      </w:r>
      <w:proofErr w:type="spellStart"/>
      <w:r>
        <w:rPr>
          <w:szCs w:val="20"/>
        </w:rPr>
        <w:t>гипердинамической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циркуляторной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гиперволемии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Гипертензия</w:t>
      </w:r>
      <w:proofErr w:type="spellEnd"/>
      <w:r>
        <w:rPr>
          <w:szCs w:val="20"/>
        </w:rPr>
        <w:t xml:space="preserve"> беременных и </w:t>
      </w:r>
      <w:proofErr w:type="spellStart"/>
      <w:r>
        <w:rPr>
          <w:szCs w:val="20"/>
        </w:rPr>
        <w:t>преэклампсия</w:t>
      </w:r>
      <w:proofErr w:type="spellEnd"/>
      <w:r>
        <w:rPr>
          <w:szCs w:val="20"/>
        </w:rPr>
        <w:t xml:space="preserve"> ведет к повышенному риску разрыва аорты. Большинство осложнений встречается среди женщин с сердечно-сосудистыми заболеваниями в анамнезе. В тр</w:t>
      </w:r>
      <w:r>
        <w:rPr>
          <w:szCs w:val="20"/>
        </w:rPr>
        <w:t xml:space="preserve">ех недавно проведенных исследованиях, двух ретроспективных и одном </w:t>
      </w:r>
      <w:proofErr w:type="spellStart"/>
      <w:r>
        <w:rPr>
          <w:szCs w:val="20"/>
        </w:rPr>
        <w:t>проспективном</w:t>
      </w:r>
      <w:proofErr w:type="spellEnd"/>
      <w:r>
        <w:rPr>
          <w:szCs w:val="20"/>
        </w:rPr>
        <w:t>, тяжелые осложнения, в основном, разрыв аорты, наблюдали у девяти женщин из 83-х (11%), наряду с этим также отмечен случай эндокардита. Сердечно-сосудистые осложнения, в основ</w:t>
      </w:r>
      <w:r>
        <w:rPr>
          <w:szCs w:val="20"/>
        </w:rPr>
        <w:t xml:space="preserve">ном, развивались, если диаметр корня аорты превышал 4 см в начале беременности или быстро нарастал в течение беременности. Исходя из наблюдений сделан вывод о необходимости введения </w:t>
      </w:r>
      <w:proofErr w:type="spellStart"/>
      <w:r>
        <w:rPr>
          <w:szCs w:val="20"/>
        </w:rPr>
        <w:t>бета-блокаторов</w:t>
      </w:r>
      <w:proofErr w:type="spellEnd"/>
      <w:r>
        <w:rPr>
          <w:szCs w:val="20"/>
        </w:rPr>
        <w:t xml:space="preserve"> во время всей беременности. Так как синдром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являет</w:t>
      </w:r>
      <w:r>
        <w:rPr>
          <w:szCs w:val="20"/>
        </w:rPr>
        <w:t xml:space="preserve">ся наследственным заболеванием с 50%-й вероятностью передачи потомству, всем пораженным женщинам детородного возраста следует предложить медико-генетическое консультирование. В некоторых семьях, по желанию родителей, может быть использована </w:t>
      </w:r>
      <w:proofErr w:type="spellStart"/>
      <w:r>
        <w:rPr>
          <w:szCs w:val="20"/>
        </w:rPr>
        <w:t>пренатальная</w:t>
      </w:r>
      <w:proofErr w:type="spellEnd"/>
      <w:r>
        <w:rPr>
          <w:szCs w:val="20"/>
        </w:rPr>
        <w:t xml:space="preserve"> ди</w:t>
      </w:r>
      <w:r>
        <w:rPr>
          <w:szCs w:val="20"/>
        </w:rPr>
        <w:t>агностика путем поиска мутаций или сцепления. УЗИ плода не является надежным диагностическим методом.</w:t>
      </w:r>
    </w:p>
    <w:p w:rsidR="00000000" w:rsidRDefault="00E31979">
      <w:pPr>
        <w:spacing w:after="240" w:line="360" w:lineRule="auto"/>
        <w:jc w:val="both"/>
        <w:rPr>
          <w:szCs w:val="20"/>
        </w:rPr>
      </w:pPr>
      <w:r>
        <w:rPr>
          <w:b/>
          <w:bCs/>
          <w:szCs w:val="20"/>
        </w:rPr>
        <w:t xml:space="preserve">Синдром </w:t>
      </w:r>
      <w:proofErr w:type="spellStart"/>
      <w:r>
        <w:rPr>
          <w:b/>
          <w:bCs/>
          <w:szCs w:val="20"/>
        </w:rPr>
        <w:t>Марфана</w:t>
      </w:r>
      <w:proofErr w:type="spellEnd"/>
      <w:r>
        <w:rPr>
          <w:b/>
          <w:bCs/>
          <w:szCs w:val="20"/>
        </w:rPr>
        <w:t xml:space="preserve"> и спорт. </w:t>
      </w:r>
      <w:r>
        <w:rPr>
          <w:szCs w:val="20"/>
        </w:rPr>
        <w:t xml:space="preserve">Занятия спортом при синдроме </w:t>
      </w:r>
      <w:proofErr w:type="spellStart"/>
      <w:r>
        <w:rPr>
          <w:szCs w:val="20"/>
        </w:rPr>
        <w:t>Марфана</w:t>
      </w:r>
      <w:proofErr w:type="spellEnd"/>
      <w:r>
        <w:rPr>
          <w:szCs w:val="20"/>
        </w:rPr>
        <w:t xml:space="preserve"> зависят от объема и выраженности клинических проявлений. Приемлемым для пациентов является н</w:t>
      </w:r>
      <w:r>
        <w:rPr>
          <w:szCs w:val="20"/>
        </w:rPr>
        <w:t>изкий или средний уровень физической активности. Из-за риска сердечно-сосудистых осложнений и возможной дислокации хрусталиков, не рекомендуется заниматься контактными видами спорта, при которых существует вероятность телесного повреждения (например, регби</w:t>
      </w:r>
      <w:r>
        <w:rPr>
          <w:szCs w:val="20"/>
        </w:rPr>
        <w:t xml:space="preserve">, прыжки, конный спорт). Пациенты, получившие хирургическую помощь, имеют еще большие ограничения, особенно, если принимают </w:t>
      </w:r>
      <w:proofErr w:type="spellStart"/>
      <w:r>
        <w:rPr>
          <w:szCs w:val="20"/>
        </w:rPr>
        <w:t>антикоагулянты</w:t>
      </w:r>
      <w:proofErr w:type="spellEnd"/>
      <w:r>
        <w:rPr>
          <w:szCs w:val="20"/>
        </w:rPr>
        <w:t>. Следует также избегать подводного плавания, из-за риска развития пневмоторакса.</w:t>
      </w:r>
      <w:r>
        <w:rPr>
          <w:szCs w:val="20"/>
        </w:rPr>
        <w:br/>
      </w:r>
      <w:r>
        <w:rPr>
          <w:szCs w:val="20"/>
        </w:rPr>
        <w:br/>
      </w:r>
    </w:p>
    <w:p w:rsidR="00000000" w:rsidRDefault="00E31979">
      <w:pPr>
        <w:spacing w:after="240" w:line="360" w:lineRule="auto"/>
        <w:jc w:val="both"/>
        <w:rPr>
          <w:szCs w:val="20"/>
        </w:rPr>
      </w:pPr>
      <w:r>
        <w:rPr>
          <w:szCs w:val="20"/>
        </w:rPr>
        <w:br w:type="page"/>
      </w:r>
      <w:r>
        <w:rPr>
          <w:b/>
          <w:bCs/>
          <w:szCs w:val="20"/>
        </w:rPr>
        <w:t>Литература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>Gray JR, Bridges AB, W</w:t>
      </w:r>
      <w:r>
        <w:rPr>
          <w:szCs w:val="20"/>
          <w:lang w:val="en-US"/>
        </w:rPr>
        <w:t xml:space="preserve">est RR,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Life expectancy in British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 populations. </w:t>
      </w:r>
      <w:proofErr w:type="spellStart"/>
      <w:r>
        <w:rPr>
          <w:i/>
          <w:iCs/>
          <w:szCs w:val="20"/>
          <w:lang w:val="en-US"/>
        </w:rPr>
        <w:t>Clin</w:t>
      </w:r>
      <w:proofErr w:type="spellEnd"/>
      <w:r>
        <w:rPr>
          <w:i/>
          <w:iCs/>
          <w:szCs w:val="20"/>
          <w:lang w:val="en-US"/>
        </w:rPr>
        <w:t xml:space="preserve"> Genet</w:t>
      </w:r>
      <w:r>
        <w:rPr>
          <w:szCs w:val="20"/>
          <w:lang w:val="en-US"/>
        </w:rPr>
        <w:t xml:space="preserve"> 1998;54:124-8. 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De </w:t>
      </w:r>
      <w:proofErr w:type="spellStart"/>
      <w:r>
        <w:rPr>
          <w:szCs w:val="20"/>
          <w:lang w:val="en-US"/>
        </w:rPr>
        <w:t>Poepe</w:t>
      </w:r>
      <w:proofErr w:type="spellEnd"/>
      <w:r>
        <w:rPr>
          <w:szCs w:val="20"/>
          <w:lang w:val="en-US"/>
        </w:rPr>
        <w:t xml:space="preserve"> A, Devereux RB, Dietz HC, </w:t>
      </w:r>
      <w:r>
        <w:rPr>
          <w:i/>
          <w:iCs/>
          <w:szCs w:val="20"/>
          <w:lang w:val="en-US"/>
        </w:rPr>
        <w:t>el al.</w:t>
      </w:r>
      <w:r>
        <w:rPr>
          <w:szCs w:val="20"/>
          <w:lang w:val="en-US"/>
        </w:rPr>
        <w:t xml:space="preserve"> Revised diagnostic criteria for the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syndrome. A</w:t>
      </w:r>
      <w:r>
        <w:rPr>
          <w:i/>
          <w:iCs/>
          <w:szCs w:val="20"/>
          <w:lang w:val="en-US"/>
        </w:rPr>
        <w:t>m J Med</w:t>
      </w:r>
      <w:r>
        <w:rPr>
          <w:szCs w:val="20"/>
          <w:lang w:val="en-US"/>
        </w:rPr>
        <w:t xml:space="preserve"> Genet 1996,62:417-26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Dietz HC, </w:t>
      </w:r>
      <w:proofErr w:type="spellStart"/>
      <w:r>
        <w:rPr>
          <w:szCs w:val="20"/>
          <w:lang w:val="en-US"/>
        </w:rPr>
        <w:t>Pyeritz</w:t>
      </w:r>
      <w:proofErr w:type="spellEnd"/>
      <w:r>
        <w:rPr>
          <w:szCs w:val="20"/>
          <w:lang w:val="en-US"/>
        </w:rPr>
        <w:t xml:space="preserve"> RE Mutations in</w:t>
      </w:r>
      <w:r>
        <w:rPr>
          <w:szCs w:val="20"/>
          <w:lang w:val="en-US"/>
        </w:rPr>
        <w:t xml:space="preserve"> the human gene for fibrillin-1 (FBN1) in the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 and related disorders. </w:t>
      </w:r>
      <w:r>
        <w:rPr>
          <w:i/>
          <w:iCs/>
          <w:szCs w:val="20"/>
          <w:lang w:val="en-US"/>
        </w:rPr>
        <w:t xml:space="preserve">Hum Mol </w:t>
      </w:r>
      <w:r>
        <w:rPr>
          <w:szCs w:val="20"/>
          <w:lang w:val="en-US"/>
        </w:rPr>
        <w:t>Genet 1995;4:1799-809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Loeys</w:t>
      </w:r>
      <w:proofErr w:type="spellEnd"/>
      <w:r>
        <w:rPr>
          <w:szCs w:val="20"/>
          <w:lang w:val="en-US"/>
        </w:rPr>
        <w:t xml:space="preserve"> B, </w:t>
      </w:r>
      <w:proofErr w:type="spellStart"/>
      <w:r>
        <w:rPr>
          <w:szCs w:val="20"/>
          <w:lang w:val="en-US"/>
        </w:rPr>
        <w:t>Nuytinck</w:t>
      </w:r>
      <w:proofErr w:type="spellEnd"/>
      <w:r>
        <w:rPr>
          <w:szCs w:val="20"/>
          <w:lang w:val="en-US"/>
        </w:rPr>
        <w:t xml:space="preserve"> L, </w:t>
      </w:r>
      <w:proofErr w:type="spellStart"/>
      <w:r>
        <w:rPr>
          <w:szCs w:val="20"/>
          <w:lang w:val="en-US"/>
        </w:rPr>
        <w:t>Delvaux</w:t>
      </w:r>
      <w:proofErr w:type="spellEnd"/>
      <w:r>
        <w:rPr>
          <w:szCs w:val="20"/>
          <w:lang w:val="en-US"/>
        </w:rPr>
        <w:t xml:space="preserve"> I,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Genotype and phenotype analysis at 171 patients referred for molecular study of the fibrillin-1 gene F</w:t>
      </w:r>
      <w:r>
        <w:rPr>
          <w:szCs w:val="20"/>
          <w:lang w:val="en-US"/>
        </w:rPr>
        <w:t xml:space="preserve">BN1 because of suspected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syndrome. </w:t>
      </w:r>
      <w:r>
        <w:rPr>
          <w:i/>
          <w:iCs/>
          <w:szCs w:val="20"/>
          <w:lang w:val="en-US"/>
        </w:rPr>
        <w:t xml:space="preserve">Arch Intern Med </w:t>
      </w:r>
      <w:r>
        <w:rPr>
          <w:szCs w:val="20"/>
          <w:lang w:val="en-US"/>
        </w:rPr>
        <w:t>2001 ;161 2447-54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Roman MJ, Rosen SE, Kramer-Fox R,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Prognostic significance of the pattern of aortic root dilation in the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syndrome. </w:t>
      </w:r>
      <w:r>
        <w:rPr>
          <w:i/>
          <w:iCs/>
          <w:szCs w:val="20"/>
          <w:lang w:val="en-US"/>
        </w:rPr>
        <w:t>J</w:t>
      </w:r>
      <w:r>
        <w:rPr>
          <w:szCs w:val="20"/>
          <w:lang w:val="en-US"/>
        </w:rPr>
        <w:t xml:space="preserve"> Am </w:t>
      </w:r>
      <w:proofErr w:type="spellStart"/>
      <w:r>
        <w:rPr>
          <w:i/>
          <w:iCs/>
          <w:szCs w:val="20"/>
          <w:lang w:val="en-US"/>
        </w:rPr>
        <w:t>Coll</w:t>
      </w:r>
      <w:proofErr w:type="spellEnd"/>
      <w:r>
        <w:rPr>
          <w:i/>
          <w:iCs/>
          <w:szCs w:val="20"/>
          <w:lang w:val="en-US"/>
        </w:rPr>
        <w:t xml:space="preserve"> </w:t>
      </w:r>
      <w:proofErr w:type="spellStart"/>
      <w:r>
        <w:rPr>
          <w:i/>
          <w:iCs/>
          <w:szCs w:val="20"/>
          <w:lang w:val="en-US"/>
        </w:rPr>
        <w:t>Cardiol</w:t>
      </w:r>
      <w:proofErr w:type="spellEnd"/>
      <w:r>
        <w:rPr>
          <w:i/>
          <w:iCs/>
          <w:szCs w:val="20"/>
          <w:lang w:val="en-US"/>
        </w:rPr>
        <w:t xml:space="preserve"> </w:t>
      </w:r>
      <w:r>
        <w:rPr>
          <w:szCs w:val="20"/>
          <w:lang w:val="en-US"/>
        </w:rPr>
        <w:t>1993;22:1470-6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Legget</w:t>
      </w:r>
      <w:proofErr w:type="spellEnd"/>
      <w:r>
        <w:rPr>
          <w:szCs w:val="20"/>
          <w:lang w:val="en-US"/>
        </w:rPr>
        <w:t xml:space="preserve"> ME, Unger TA</w:t>
      </w:r>
      <w:r>
        <w:rPr>
          <w:szCs w:val="20"/>
          <w:lang w:val="en-US"/>
        </w:rPr>
        <w:t xml:space="preserve">, O'Sullivan CK,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Aortic root complications in </w:t>
      </w:r>
      <w:proofErr w:type="spellStart"/>
      <w:r>
        <w:rPr>
          <w:szCs w:val="20"/>
          <w:lang w:val="en-US"/>
        </w:rPr>
        <w:t>Marfan's</w:t>
      </w:r>
      <w:proofErr w:type="spellEnd"/>
      <w:r>
        <w:rPr>
          <w:szCs w:val="20"/>
          <w:lang w:val="en-US"/>
        </w:rPr>
        <w:t xml:space="preserve"> syndrome: identification of a lower risk group. </w:t>
      </w:r>
      <w:r>
        <w:rPr>
          <w:i/>
          <w:iCs/>
          <w:szCs w:val="20"/>
          <w:lang w:val="en-US"/>
        </w:rPr>
        <w:t xml:space="preserve">Heart </w:t>
      </w:r>
      <w:r>
        <w:rPr>
          <w:szCs w:val="20"/>
          <w:lang w:val="en-US"/>
        </w:rPr>
        <w:t>1996;75:389-95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Shores J, Berger KR, Murphy EA,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Progression or aortic dilatation and the benefit of long-term beta-ad </w:t>
      </w:r>
      <w:proofErr w:type="spellStart"/>
      <w:r>
        <w:rPr>
          <w:szCs w:val="20"/>
          <w:lang w:val="en-US"/>
        </w:rPr>
        <w:t>renergic</w:t>
      </w:r>
      <w:proofErr w:type="spellEnd"/>
      <w:r>
        <w:rPr>
          <w:szCs w:val="20"/>
          <w:lang w:val="en-US"/>
        </w:rPr>
        <w:t xml:space="preserve"> blockad</w:t>
      </w:r>
      <w:r>
        <w:rPr>
          <w:szCs w:val="20"/>
          <w:lang w:val="en-US"/>
        </w:rPr>
        <w:t xml:space="preserve">e in </w:t>
      </w:r>
      <w:proofErr w:type="spellStart"/>
      <w:r>
        <w:rPr>
          <w:szCs w:val="20"/>
          <w:lang w:val="en-US"/>
        </w:rPr>
        <w:t>Marfan's</w:t>
      </w:r>
      <w:proofErr w:type="spellEnd"/>
      <w:r>
        <w:rPr>
          <w:szCs w:val="20"/>
          <w:lang w:val="en-US"/>
        </w:rPr>
        <w:t xml:space="preserve"> syndrome. </w:t>
      </w:r>
      <w:r>
        <w:rPr>
          <w:i/>
          <w:iCs/>
          <w:szCs w:val="20"/>
          <w:lang w:val="en-US"/>
        </w:rPr>
        <w:t xml:space="preserve">N </w:t>
      </w:r>
      <w:proofErr w:type="spellStart"/>
      <w:r>
        <w:rPr>
          <w:i/>
          <w:iCs/>
          <w:szCs w:val="20"/>
          <w:lang w:val="en-US"/>
        </w:rPr>
        <w:t>Engl</w:t>
      </w:r>
      <w:proofErr w:type="spellEnd"/>
      <w:r>
        <w:rPr>
          <w:i/>
          <w:iCs/>
          <w:szCs w:val="20"/>
          <w:lang w:val="en-US"/>
        </w:rPr>
        <w:t xml:space="preserve"> J Med</w:t>
      </w:r>
      <w:r>
        <w:rPr>
          <w:szCs w:val="20"/>
          <w:lang w:val="en-US"/>
        </w:rPr>
        <w:t xml:space="preserve"> 1994:330:1335-41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Lipscomb KJ, Clayton-Smith J, Harris R Evolving phenotype at </w:t>
      </w:r>
      <w:proofErr w:type="spellStart"/>
      <w:r>
        <w:rPr>
          <w:szCs w:val="20"/>
          <w:lang w:val="en-US"/>
        </w:rPr>
        <w:t>Marfan's</w:t>
      </w:r>
      <w:proofErr w:type="spellEnd"/>
      <w:r>
        <w:rPr>
          <w:szCs w:val="20"/>
          <w:lang w:val="en-US"/>
        </w:rPr>
        <w:t xml:space="preserve"> syndrome </w:t>
      </w:r>
      <w:r>
        <w:rPr>
          <w:i/>
          <w:iCs/>
          <w:szCs w:val="20"/>
          <w:lang w:val="en-US"/>
        </w:rPr>
        <w:t xml:space="preserve">Arch </w:t>
      </w:r>
      <w:proofErr w:type="spellStart"/>
      <w:r>
        <w:rPr>
          <w:i/>
          <w:iCs/>
          <w:szCs w:val="20"/>
          <w:lang w:val="en-US"/>
        </w:rPr>
        <w:t>Dis</w:t>
      </w:r>
      <w:proofErr w:type="spellEnd"/>
      <w:r>
        <w:rPr>
          <w:i/>
          <w:iCs/>
          <w:szCs w:val="20"/>
          <w:lang w:val="en-US"/>
        </w:rPr>
        <w:t xml:space="preserve"> Child</w:t>
      </w:r>
      <w:r>
        <w:rPr>
          <w:szCs w:val="20"/>
          <w:lang w:val="en-US"/>
        </w:rPr>
        <w:t xml:space="preserve"> 1997;76:41-6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Groenink</w:t>
      </w:r>
      <w:proofErr w:type="spellEnd"/>
      <w:r>
        <w:rPr>
          <w:szCs w:val="20"/>
          <w:lang w:val="en-US"/>
        </w:rPr>
        <w:t xml:space="preserve"> M, </w:t>
      </w:r>
      <w:proofErr w:type="spellStart"/>
      <w:r>
        <w:rPr>
          <w:szCs w:val="20"/>
          <w:lang w:val="en-US"/>
        </w:rPr>
        <w:t>Lohuis</w:t>
      </w:r>
      <w:proofErr w:type="spellEnd"/>
      <w:r>
        <w:rPr>
          <w:szCs w:val="20"/>
          <w:lang w:val="en-US"/>
        </w:rPr>
        <w:t xml:space="preserve"> TAJ, </w:t>
      </w:r>
      <w:proofErr w:type="spellStart"/>
      <w:r>
        <w:rPr>
          <w:szCs w:val="20"/>
          <w:lang w:val="en-US"/>
        </w:rPr>
        <w:t>Tijssen</w:t>
      </w:r>
      <w:proofErr w:type="spellEnd"/>
      <w:r>
        <w:rPr>
          <w:szCs w:val="20"/>
          <w:lang w:val="en-US"/>
        </w:rPr>
        <w:t xml:space="preserve">, </w:t>
      </w:r>
      <w:r>
        <w:rPr>
          <w:i/>
          <w:iCs/>
          <w:szCs w:val="20"/>
          <w:lang w:val="en-US"/>
        </w:rPr>
        <w:t>et al-</w:t>
      </w:r>
      <w:r>
        <w:rPr>
          <w:szCs w:val="20"/>
          <w:lang w:val="en-US"/>
        </w:rPr>
        <w:t xml:space="preserve"> Survival and complication free survival in </w:t>
      </w:r>
      <w:proofErr w:type="spellStart"/>
      <w:r>
        <w:rPr>
          <w:szCs w:val="20"/>
          <w:lang w:val="en-US"/>
        </w:rPr>
        <w:t>Marfan's</w:t>
      </w:r>
      <w:proofErr w:type="spellEnd"/>
      <w:r>
        <w:rPr>
          <w:szCs w:val="20"/>
          <w:lang w:val="en-US"/>
        </w:rPr>
        <w:t xml:space="preserve"> syn</w:t>
      </w:r>
      <w:r>
        <w:rPr>
          <w:szCs w:val="20"/>
          <w:lang w:val="en-US"/>
        </w:rPr>
        <w:t>drome: implications of current guidelines. Heart 1999,82:499-50.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RiosAS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Silber</w:t>
      </w:r>
      <w:proofErr w:type="spellEnd"/>
      <w:r>
        <w:rPr>
          <w:szCs w:val="20"/>
          <w:lang w:val="en-US"/>
        </w:rPr>
        <w:t xml:space="preserve"> EN, </w:t>
      </w:r>
      <w:proofErr w:type="spellStart"/>
      <w:r>
        <w:rPr>
          <w:szCs w:val="20"/>
          <w:lang w:val="en-US"/>
        </w:rPr>
        <w:t>Bavishi</w:t>
      </w:r>
      <w:proofErr w:type="spellEnd"/>
      <w:r>
        <w:rPr>
          <w:szCs w:val="20"/>
          <w:lang w:val="en-US"/>
        </w:rPr>
        <w:t xml:space="preserve"> N. et al. Effect of long-term beta-blockade on aortic root compliance in patients with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syndrome. </w:t>
      </w:r>
      <w:r>
        <w:rPr>
          <w:i/>
          <w:iCs/>
          <w:szCs w:val="20"/>
          <w:lang w:val="en-US"/>
        </w:rPr>
        <w:t xml:space="preserve">Am Heart J </w:t>
      </w:r>
      <w:r>
        <w:rPr>
          <w:szCs w:val="20"/>
          <w:lang w:val="en-US"/>
        </w:rPr>
        <w:t>1999;137:1057-61.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Salim</w:t>
      </w:r>
      <w:proofErr w:type="spellEnd"/>
      <w:r>
        <w:rPr>
          <w:szCs w:val="20"/>
          <w:lang w:val="en-US"/>
        </w:rPr>
        <w:t xml:space="preserve"> MA, Alpert BS, Ward JC, e</w:t>
      </w:r>
      <w:r>
        <w:rPr>
          <w:szCs w:val="20"/>
          <w:lang w:val="en-US"/>
        </w:rPr>
        <w:t>t al. Effect of beta-</w:t>
      </w:r>
      <w:proofErr w:type="spellStart"/>
      <w:r>
        <w:rPr>
          <w:szCs w:val="20"/>
          <w:lang w:val="en-US"/>
        </w:rPr>
        <w:t>adrenergic</w:t>
      </w:r>
      <w:proofErr w:type="spellEnd"/>
      <w:r>
        <w:rPr>
          <w:szCs w:val="20"/>
          <w:lang w:val="en-US"/>
        </w:rPr>
        <w:t xml:space="preserve"> blockade on </w:t>
      </w:r>
      <w:proofErr w:type="spellStart"/>
      <w:r>
        <w:rPr>
          <w:szCs w:val="20"/>
          <w:lang w:val="en-US"/>
        </w:rPr>
        <w:t>aorlic</w:t>
      </w:r>
      <w:proofErr w:type="spellEnd"/>
      <w:r>
        <w:rPr>
          <w:szCs w:val="20"/>
          <w:lang w:val="en-US"/>
        </w:rPr>
        <w:t xml:space="preserve"> root rate of dilation in the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syndrome- </w:t>
      </w:r>
      <w:r>
        <w:rPr>
          <w:i/>
          <w:iCs/>
          <w:szCs w:val="20"/>
          <w:lang w:val="en-US"/>
        </w:rPr>
        <w:t>Am J</w:t>
      </w:r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Cardiol</w:t>
      </w:r>
      <w:proofErr w:type="spellEnd"/>
      <w:r>
        <w:rPr>
          <w:szCs w:val="20"/>
          <w:lang w:val="en-US"/>
        </w:rPr>
        <w:t xml:space="preserve"> 1994;74:629-33.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Haouzi</w:t>
      </w:r>
      <w:proofErr w:type="spellEnd"/>
      <w:r>
        <w:rPr>
          <w:szCs w:val="20"/>
          <w:lang w:val="en-US"/>
        </w:rPr>
        <w:t xml:space="preserve"> A, </w:t>
      </w:r>
      <w:proofErr w:type="spellStart"/>
      <w:r>
        <w:rPr>
          <w:szCs w:val="20"/>
          <w:lang w:val="en-US"/>
        </w:rPr>
        <w:t>Berglund</w:t>
      </w:r>
      <w:proofErr w:type="spellEnd"/>
      <w:r>
        <w:rPr>
          <w:szCs w:val="20"/>
          <w:lang w:val="en-US"/>
        </w:rPr>
        <w:t xml:space="preserve"> H, </w:t>
      </w:r>
      <w:proofErr w:type="spellStart"/>
      <w:r>
        <w:rPr>
          <w:szCs w:val="20"/>
          <w:lang w:val="en-US"/>
        </w:rPr>
        <w:t>Pelikan</w:t>
      </w:r>
      <w:proofErr w:type="spellEnd"/>
      <w:r>
        <w:rPr>
          <w:szCs w:val="20"/>
          <w:lang w:val="en-US"/>
        </w:rPr>
        <w:t xml:space="preserve"> PCD,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Heterogeneous aortic response to acute beta-</w:t>
      </w:r>
      <w:proofErr w:type="spellStart"/>
      <w:r>
        <w:rPr>
          <w:szCs w:val="20"/>
          <w:lang w:val="en-US"/>
        </w:rPr>
        <w:t>adrenergic</w:t>
      </w:r>
      <w:proofErr w:type="spellEnd"/>
      <w:r>
        <w:rPr>
          <w:szCs w:val="20"/>
          <w:lang w:val="en-US"/>
        </w:rPr>
        <w:t xml:space="preserve"> blockade in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syndrome. Am </w:t>
      </w:r>
      <w:r>
        <w:rPr>
          <w:i/>
          <w:iCs/>
          <w:szCs w:val="20"/>
          <w:lang w:val="en-US"/>
        </w:rPr>
        <w:t>H</w:t>
      </w:r>
      <w:r>
        <w:rPr>
          <w:i/>
          <w:iCs/>
          <w:szCs w:val="20"/>
          <w:lang w:val="en-US"/>
        </w:rPr>
        <w:t xml:space="preserve">eart J </w:t>
      </w:r>
      <w:r>
        <w:rPr>
          <w:szCs w:val="20"/>
          <w:lang w:val="en-US"/>
        </w:rPr>
        <w:t>1997;133:60-3</w:t>
      </w:r>
    </w:p>
    <w:p w:rsidR="00000000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Groenink</w:t>
      </w:r>
      <w:proofErr w:type="spellEnd"/>
      <w:r>
        <w:rPr>
          <w:szCs w:val="20"/>
          <w:lang w:val="en-US"/>
        </w:rPr>
        <w:t xml:space="preserve"> M, de </w:t>
      </w:r>
      <w:proofErr w:type="spellStart"/>
      <w:r>
        <w:rPr>
          <w:szCs w:val="20"/>
          <w:lang w:val="en-US"/>
        </w:rPr>
        <w:t>Roos</w:t>
      </w:r>
      <w:proofErr w:type="spellEnd"/>
      <w:r>
        <w:rPr>
          <w:szCs w:val="20"/>
          <w:lang w:val="en-US"/>
        </w:rPr>
        <w:t xml:space="preserve"> A, </w:t>
      </w:r>
      <w:proofErr w:type="spellStart"/>
      <w:r>
        <w:rPr>
          <w:szCs w:val="20"/>
          <w:lang w:val="en-US"/>
        </w:rPr>
        <w:t>Mulder</w:t>
      </w:r>
      <w:proofErr w:type="spellEnd"/>
      <w:r>
        <w:rPr>
          <w:szCs w:val="20"/>
          <w:lang w:val="en-US"/>
        </w:rPr>
        <w:t xml:space="preserve"> BJM, </w:t>
      </w:r>
      <w:r>
        <w:rPr>
          <w:i/>
          <w:iCs/>
          <w:szCs w:val="20"/>
          <w:lang w:val="en-US"/>
        </w:rPr>
        <w:t>el al.</w:t>
      </w:r>
      <w:r>
        <w:rPr>
          <w:szCs w:val="20"/>
          <w:lang w:val="en-US"/>
        </w:rPr>
        <w:t xml:space="preserve"> Changes in aortic </w:t>
      </w:r>
      <w:proofErr w:type="spellStart"/>
      <w:r>
        <w:rPr>
          <w:szCs w:val="20"/>
          <w:lang w:val="en-US"/>
        </w:rPr>
        <w:t>distensibilily</w:t>
      </w:r>
      <w:proofErr w:type="spellEnd"/>
      <w:r>
        <w:rPr>
          <w:szCs w:val="20"/>
          <w:lang w:val="en-US"/>
        </w:rPr>
        <w:t xml:space="preserve"> and pulse wave velocity assessed with magnetic resonance imaging following beta-blocker therapy in the </w:t>
      </w:r>
      <w:proofErr w:type="spellStart"/>
      <w:r>
        <w:rPr>
          <w:szCs w:val="20"/>
          <w:lang w:val="en-US"/>
        </w:rPr>
        <w:t>Marfan</w:t>
      </w:r>
      <w:proofErr w:type="spellEnd"/>
      <w:r>
        <w:rPr>
          <w:szCs w:val="20"/>
          <w:lang w:val="en-US"/>
        </w:rPr>
        <w:t xml:space="preserve"> syndrome. </w:t>
      </w:r>
      <w:r>
        <w:rPr>
          <w:i/>
          <w:iCs/>
          <w:szCs w:val="20"/>
          <w:lang w:val="en-US"/>
        </w:rPr>
        <w:t xml:space="preserve">Am J </w:t>
      </w:r>
      <w:proofErr w:type="spellStart"/>
      <w:r>
        <w:rPr>
          <w:i/>
          <w:iCs/>
          <w:szCs w:val="20"/>
          <w:lang w:val="en-US"/>
        </w:rPr>
        <w:t>Cardiol</w:t>
      </w:r>
      <w:proofErr w:type="spellEnd"/>
      <w:r>
        <w:rPr>
          <w:szCs w:val="20"/>
          <w:lang w:val="en-US"/>
        </w:rPr>
        <w:t xml:space="preserve"> 1998;82:203-8.</w:t>
      </w:r>
    </w:p>
    <w:p w:rsidR="00E31979" w:rsidRDefault="00E3197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Nagashima</w:t>
      </w:r>
      <w:proofErr w:type="spellEnd"/>
      <w:r>
        <w:rPr>
          <w:szCs w:val="20"/>
          <w:lang w:val="en-US"/>
        </w:rPr>
        <w:t xml:space="preserve"> H,</w:t>
      </w:r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Sokomura</w:t>
      </w:r>
      <w:proofErr w:type="spellEnd"/>
      <w:r>
        <w:rPr>
          <w:szCs w:val="20"/>
          <w:lang w:val="en-US"/>
        </w:rPr>
        <w:t xml:space="preserve"> Y, </w:t>
      </w:r>
      <w:proofErr w:type="spellStart"/>
      <w:r>
        <w:rPr>
          <w:szCs w:val="20"/>
          <w:lang w:val="en-US"/>
        </w:rPr>
        <w:t>Aoka</w:t>
      </w:r>
      <w:proofErr w:type="spellEnd"/>
      <w:r>
        <w:rPr>
          <w:szCs w:val="20"/>
          <w:lang w:val="en-US"/>
        </w:rPr>
        <w:t xml:space="preserve"> Y, </w:t>
      </w:r>
      <w:r>
        <w:rPr>
          <w:i/>
          <w:iCs/>
          <w:szCs w:val="20"/>
          <w:lang w:val="en-US"/>
        </w:rPr>
        <w:t>et al.</w:t>
      </w:r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Angiotensin</w:t>
      </w:r>
      <w:proofErr w:type="spellEnd"/>
      <w:r>
        <w:rPr>
          <w:szCs w:val="20"/>
          <w:lang w:val="en-US"/>
        </w:rPr>
        <w:t xml:space="preserve"> II type 2 receptor mediates muscle cell apoptosis in cystic medical degeneration associated with </w:t>
      </w:r>
      <w:proofErr w:type="spellStart"/>
      <w:r>
        <w:rPr>
          <w:szCs w:val="20"/>
          <w:lang w:val="en-US"/>
        </w:rPr>
        <w:t>Marfan's</w:t>
      </w:r>
      <w:proofErr w:type="spellEnd"/>
      <w:r>
        <w:rPr>
          <w:szCs w:val="20"/>
          <w:lang w:val="en-US"/>
        </w:rPr>
        <w:t xml:space="preserve"> syndrome </w:t>
      </w:r>
      <w:r>
        <w:rPr>
          <w:i/>
          <w:iCs/>
          <w:szCs w:val="20"/>
          <w:lang w:val="en-US"/>
        </w:rPr>
        <w:t>Circulation</w:t>
      </w:r>
      <w:r>
        <w:rPr>
          <w:szCs w:val="20"/>
          <w:lang w:val="en-US"/>
        </w:rPr>
        <w:t xml:space="preserve"> 2001;104 (</w:t>
      </w:r>
      <w:proofErr w:type="spellStart"/>
      <w:r>
        <w:rPr>
          <w:szCs w:val="20"/>
          <w:lang w:val="en-US"/>
        </w:rPr>
        <w:t>suppl</w:t>
      </w:r>
      <w:proofErr w:type="spellEnd"/>
      <w:r>
        <w:rPr>
          <w:szCs w:val="20"/>
          <w:lang w:val="en-US"/>
        </w:rPr>
        <w:t xml:space="preserve"> 1):1-282-7.</w:t>
      </w:r>
    </w:p>
    <w:sectPr w:rsidR="00E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CF5"/>
    <w:multiLevelType w:val="hybridMultilevel"/>
    <w:tmpl w:val="180273E6"/>
    <w:lvl w:ilvl="0" w:tplc="DDF82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0C5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61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0C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62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40C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B83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C097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EC2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D4F20"/>
    <w:multiLevelType w:val="hybridMultilevel"/>
    <w:tmpl w:val="ABB28064"/>
    <w:lvl w:ilvl="0" w:tplc="01A42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AC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E0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822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328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3AF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C8F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043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166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E3282"/>
    <w:multiLevelType w:val="hybridMultilevel"/>
    <w:tmpl w:val="B6847B3E"/>
    <w:lvl w:ilvl="0" w:tplc="879AB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83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420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E3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8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0F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2A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A4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6E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E5"/>
    <w:rsid w:val="005C36E5"/>
    <w:rsid w:val="00E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4">
    <w:name w:val="Body Text"/>
    <w:basedOn w:val="a"/>
    <w:semiHidden/>
    <w:pPr>
      <w:spacing w:line="360" w:lineRule="auto"/>
    </w:pPr>
    <w:rPr>
      <w:color w:val="000000"/>
      <w:szCs w:val="15"/>
    </w:rPr>
  </w:style>
  <w:style w:type="paragraph" w:customStyle="1" w:styleId="zag1">
    <w:name w:val="zag1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4">
    <w:name w:val="Body Text"/>
    <w:basedOn w:val="a"/>
    <w:semiHidden/>
    <w:pPr>
      <w:spacing w:line="360" w:lineRule="auto"/>
    </w:pPr>
    <w:rPr>
      <w:color w:val="000000"/>
      <w:szCs w:val="15"/>
    </w:rPr>
  </w:style>
  <w:style w:type="paragraph" w:customStyle="1" w:styleId="zag1">
    <w:name w:val="zag1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Марфана - наследственное заболевание соединительной ткани с вовлечением скелетно-мышечной и сердечно-сосудистой систем</vt:lpstr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Марфана - наследственное заболевание соединительной ткани с вовлечением скелетно-мышечной и сердечно-сосудистой систем</dc:title>
  <dc:creator>Сакина</dc:creator>
  <cp:lastModifiedBy>Igor</cp:lastModifiedBy>
  <cp:revision>3</cp:revision>
  <dcterms:created xsi:type="dcterms:W3CDTF">2024-07-18T07:16:00Z</dcterms:created>
  <dcterms:modified xsi:type="dcterms:W3CDTF">2024-07-18T07:16:00Z</dcterms:modified>
</cp:coreProperties>
</file>