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40" w:rsidRPr="00A808BA" w:rsidRDefault="00CD0840" w:rsidP="00CD084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08BA">
        <w:rPr>
          <w:b/>
          <w:bCs/>
          <w:sz w:val="32"/>
          <w:szCs w:val="32"/>
        </w:rPr>
        <w:t>Слуховая и вестибулярная сенсорные системы, их вспомогательный аппарат.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«Природа давшая нам лишь один орган речь, дала нам два органа для слуха, дабы мы знали, что надо больше слушать, чем говорить»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Арабская мудрость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Слуховая сенсорная система человека по своему значению является второй после зрительной сенсорной системы. Особую роль она приобретает у человека в связи с возникновением речи.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Рецепторные клетки системы расположены в улитке внутреннего уха и входят в состав кортиева органа. От рецепторов по волокнам  улиткового нерва импульсы достигают вентрального ядра. Далее слуховая информация направляется к ядрам оливы, а от них по волокнам латеральной (слуховой) петли к медиальным коленчатым телам и нижним холмикам четверохолмия. От медиального коленчатого тела в составе внутренней капсулы импульсы достигают слуховой зоны коры и других слуховых центров височной доли мозга по волокнам слуховой лучистости.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Анатомически орган слуха.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(organum auditos) представлен: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1 – наружным ухом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2 – средним ухом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3 – внутренним ухом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Наружное ухо состоит из ушной раковины и наружного слухового прохода. Оба образования выполняют функцию улавливания звуковых колебаний. Границей между наружным и средним ухом является барабанная перепонка – первый элемент аппарата механической передачи колебаний звуковых волн.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Среднее ухо состоит из барабанной полости и слуховой (евстахиевой) трубы.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Барабанная полость лежит в толще пирамиды височной кости. Ее емкость приблизительно равна 1 куб. см. Стенки барабанной полости выстланы слизистой оболочкой (мерцательный эпителий, как слизистая дыхательных путей). В полости содержатся три слуховые косточки (молоточек, наковальня и стремечко), соединенные между собой суставами. Рукоятка молоточка прикрепляется изнутри  к барабанной перепонке, образуя втягивание в ее центре (пупок - umbo). Основание стремечка упирается в мембрану овального окна. Цепь слуховых косточек передает механические колебания барабанной перепонки на мембрану овального окна и структуры внутреннего уха.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Слуховая (евстахиева) труба соединяет барабанную полость с носоглоткой. Ее стенки выстланы слизистой оболочкой. Труба служит для выравнивания внутреннего и наружного давления воздуха на барабанную перепонку.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Внутреннее ухо представлено костным лабиринтом, а также лежащим внутри костного и повторяющим его конструкцию перепончатым лабиринтом.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Костный лабиринт включает в себя: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улитку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преддверие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 xml:space="preserve">полукружные каналы 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lastRenderedPageBreak/>
        <w:t>причем два последних образования к органу слуха не относятся. Они представляют собой вестибулярный аппарат, регулирующий положение тела в пространстве и сохранение равновесия.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Улитка является вместилищем органа слуха. Она имеет вид костного канала, имеющего 2.5 оборота и постоянно расширяющегося. На всем протяжении этот канал разделен двумя перепонками: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вестибулярной мембраной (Рейснера)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базальной  мембраной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 xml:space="preserve">Эти мембраны на вершине улитки соединяются. В этом месте имеется отверстие – геликотрема. Костный канал улитки за счет вестибулярной и базальной пластинок разделяются на три узких хода: 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верхний (лестница преддверия)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средний (улитковый проток)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нижний (барабанная лестница)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Обе лестницы заполнены жидкостью – (перилимфой), а улитковый проток содержит в себе эндолимфу.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На базальной мембране улиткового протока находится орган слуха (кортиев орган), состоящий из волосковых рецепторных клеточек. Эти клетки преобразуют механические звуковые колебания в биоэлектрические импульсы той же частоты, идущие затем по волокнам слухового нерва в слуховую зону коры мозга. Клетки выполняют функцию своеобразных микрофончиков и это явление по аналогии названо «Микрофонным эффектом». Человеческое ухо способно воспринимать звуки в диапазоне частот от 16Гц до 20000Гц, за его пределами находится область инфразвука и ультразвука.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Вестибулярный орган (орган равновесия) располагается в преддверии и полукружных каналах внутреннего уха. Полукружные каналы – это костные узкие ходы, расположенные в трех взаимно перпендикулярных плоскостях. Концы каналов несколько расширены и называются ампулами. В каналах лежат полукружные протоки перепончатого лабиринта.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Преддверие содержит в себе два мешочка: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Эллиптический (маточка, утрикулюс)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Сферический (саккулюс))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 обоих мешочках преддверия имеются возвышения, называемые пятнами. В пятнах сосредоточены рецепторные волосковые клетки. Волоски обращены внутрь мешочков и прикреплены к кристаллическим камешкам – отолитам и желеобразной отолитовой мембране.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 ампулах полукружных протоков рецепторные клетки образуют скопление – ампулярные кристы. Возбуждение рецепторов здесь происходит за счет перемещения эндолимфы в протоках.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Раздражение отолитовых рецепторов или рецепторов полукружных протоков происходит в зависимости от характера движения. Отолитовый аппарат возбуждается при ускоряющихся и замедляющихся прямолинейных движениях, тряске, качке, наклоне тела или головы в сторону, при которых изменяется давление отолитов на рецепторные клетки. Рецепторы полукружных протоков раздражаются в момент ускоренного или замедленного вращательного движения в горизонтальной, сагитальной или фронтальной плоскости за счет движения в протоках эндолимфы.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При возбуждении вестибулярного аппарата возникают различные рефлекторные реакции: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Двигательного характера (вестибуломоторные)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Изменяющие работу внутренних органов (вестибуловегетативные)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Разнообразные ощущения (вестибулосенсорные реакции)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Примером первых являются особые движения глаз – нистагм после выполнения вращательной пробы. При этом глаза сначала медленно движутся в сторону противоположную вращению, а затем очень быстро – в сторону направления вращения.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Примером реакции второго типа являются изменения сердечного ритма, ослабление тонуса стенок сосудов, падение АД, усиление моторики желудка и кишечника, рвота.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Реакции третьего типа проявляются как чувство головокружения, нарушения ориентации в окружающем пространстве, ощущение тошноты.</w:t>
      </w:r>
    </w:p>
    <w:p w:rsidR="00CD0840" w:rsidRPr="00155466" w:rsidRDefault="00CD0840" w:rsidP="00CD0840">
      <w:pPr>
        <w:spacing w:before="120"/>
        <w:ind w:firstLine="567"/>
        <w:jc w:val="both"/>
      </w:pPr>
      <w:r w:rsidRPr="00155466">
        <w:t>Вестибулярный аппарат участвует в регуляции и перераспределении мышечного тонуса, чем обеспечивается сохранение позы, компенсация состояния неустойчивого равновесия при вертикальном положении тела (стоя).</w:t>
      </w:r>
    </w:p>
    <w:p w:rsidR="00CD0840" w:rsidRPr="00917C58" w:rsidRDefault="00CD0840" w:rsidP="00CD0840">
      <w:pPr>
        <w:spacing w:before="120"/>
        <w:jc w:val="center"/>
        <w:rPr>
          <w:b/>
          <w:bCs/>
          <w:sz w:val="28"/>
          <w:szCs w:val="28"/>
        </w:rPr>
      </w:pPr>
      <w:r w:rsidRPr="00917C58">
        <w:rPr>
          <w:b/>
          <w:bCs/>
          <w:sz w:val="28"/>
          <w:szCs w:val="28"/>
        </w:rPr>
        <w:t>Список литературы</w:t>
      </w:r>
    </w:p>
    <w:p w:rsidR="00CD0840" w:rsidRDefault="00CD0840" w:rsidP="00CD0840">
      <w:pPr>
        <w:spacing w:before="120"/>
        <w:ind w:firstLine="567"/>
        <w:jc w:val="both"/>
      </w:pPr>
      <w:r w:rsidRPr="00155466">
        <w:t xml:space="preserve">Для подготовки данной работы были использованы материалы с сайта </w:t>
      </w:r>
      <w:hyperlink r:id="rId5" w:history="1">
        <w:r w:rsidRPr="00155466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40"/>
    <w:rsid w:val="00002B5A"/>
    <w:rsid w:val="0010437E"/>
    <w:rsid w:val="00155466"/>
    <w:rsid w:val="00316F32"/>
    <w:rsid w:val="00616072"/>
    <w:rsid w:val="006A5004"/>
    <w:rsid w:val="00710178"/>
    <w:rsid w:val="0078612E"/>
    <w:rsid w:val="0081563E"/>
    <w:rsid w:val="008B35EE"/>
    <w:rsid w:val="00905CC1"/>
    <w:rsid w:val="00917C58"/>
    <w:rsid w:val="00A808BA"/>
    <w:rsid w:val="00B42C45"/>
    <w:rsid w:val="00B47B6A"/>
    <w:rsid w:val="00C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D0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D0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5292</Characters>
  <Application>Microsoft Office Word</Application>
  <DocSecurity>0</DocSecurity>
  <Lines>44</Lines>
  <Paragraphs>12</Paragraphs>
  <ScaleCrop>false</ScaleCrop>
  <Company>Home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Слуховая и вестибулярная сенсорные системы, их вспомогательный аппарат</dc:title>
  <dc:creator>User</dc:creator>
  <cp:lastModifiedBy>Igor</cp:lastModifiedBy>
  <cp:revision>2</cp:revision>
  <dcterms:created xsi:type="dcterms:W3CDTF">2024-09-30T07:28:00Z</dcterms:created>
  <dcterms:modified xsi:type="dcterms:W3CDTF">2024-09-30T07:28:00Z</dcterms:modified>
</cp:coreProperties>
</file>