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Сочетанное введение детских вакцин: важное направление в п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литике здравоохранения, отличающееся безопасностью и эффе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тивностью</w:t>
      </w:r>
      <w:r>
        <w:rPr>
          <w:rStyle w:val="a9"/>
          <w:rFonts w:ascii="Times New Roman" w:hAnsi="Times New Roman" w:cs="Times New Roman"/>
          <w:b/>
          <w:bCs/>
          <w:color w:val="000000"/>
          <w:sz w:val="32"/>
          <w:szCs w:val="32"/>
        </w:rPr>
        <w:footnoteReference w:id="1"/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Гейл Е. Кинг, д-р мед., канд. наук по организации здравоохранения, Стивен К.Хадлер, д-р мед.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Безопасность и иммуноген</w:t>
      </w:r>
      <w:r>
        <w:rPr>
          <w:rFonts w:ascii="Times New Roman" w:hAnsi="Times New Roman" w:cs="Times New Roman"/>
          <w:color w:val="000000"/>
        </w:rPr>
        <w:t>ность детских вакцин, вводимых одновременно - это важные вопросы, поскольку появляются новые антигены и возрастают усилия, направленные на то, чтобы прививать дошкольников при первой же возможности. Родители и работники медико - санитарной помощи озабочены</w:t>
      </w:r>
      <w:r>
        <w:rPr>
          <w:rFonts w:ascii="Times New Roman" w:hAnsi="Times New Roman" w:cs="Times New Roman"/>
          <w:color w:val="000000"/>
        </w:rPr>
        <w:t xml:space="preserve"> возможностью увеличения побочных эффектов и снижения эффективности при одновременном введении различных вакцин. В данной статье мы кас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емся этих волнующих вопросов посредством анализа имеющихся данных. Эти данные пок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зывают, что одновременное введение сам</w:t>
      </w:r>
      <w:r>
        <w:rPr>
          <w:rFonts w:ascii="Times New Roman" w:hAnsi="Times New Roman" w:cs="Times New Roman"/>
          <w:color w:val="000000"/>
        </w:rPr>
        <w:t>ых распространённых детских вакцин - это бе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опасная и действенная практика. Это также и политика, имеющая решающее значение для достижения национальной цели 90%-ного охвата прививками 2-летних детей к 1996г.</w:t>
      </w:r>
      <w:r>
        <w:rPr>
          <w:rStyle w:val="a6"/>
          <w:rFonts w:ascii="Times New Roman" w:hAnsi="Times New Roman" w:cs="Times New Roman"/>
          <w:color w:val="000000"/>
        </w:rPr>
        <w:endnoteReference w:customMarkFollows="1" w:id="1"/>
        <w:t>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Введение нескольких вакцин обычно рекомендует</w:t>
      </w:r>
      <w:r>
        <w:rPr>
          <w:rFonts w:ascii="Times New Roman" w:hAnsi="Times New Roman" w:cs="Times New Roman"/>
          <w:color w:val="000000"/>
        </w:rPr>
        <w:t>ся почти для всех возрастов в рамках календаря прививок, рекомендуемых Консультативным комитетом по практической иммун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зации (ККПИ)</w:t>
      </w:r>
      <w:r>
        <w:rPr>
          <w:rStyle w:val="a6"/>
          <w:rFonts w:ascii="Times New Roman" w:hAnsi="Times New Roman" w:cs="Times New Roman"/>
          <w:color w:val="000000"/>
        </w:rPr>
        <w:endnoteReference w:customMarkFollows="1" w:id="2"/>
        <w:t>2</w:t>
      </w:r>
      <w:r>
        <w:rPr>
          <w:rFonts w:ascii="Times New Roman" w:hAnsi="Times New Roman" w:cs="Times New Roman"/>
          <w:color w:val="000000"/>
        </w:rPr>
        <w:t xml:space="preserve"> и Американской академии педиатрии (ААП)</w:t>
      </w:r>
      <w:r>
        <w:rPr>
          <w:rStyle w:val="a6"/>
          <w:rFonts w:ascii="Times New Roman" w:hAnsi="Times New Roman" w:cs="Times New Roman"/>
          <w:color w:val="000000"/>
        </w:rPr>
        <w:endnoteReference w:customMarkFollows="1" w:id="3"/>
        <w:t>3</w:t>
      </w:r>
      <w:r>
        <w:rPr>
          <w:rFonts w:ascii="Times New Roman" w:hAnsi="Times New Roman" w:cs="Times New Roman"/>
          <w:color w:val="000000"/>
        </w:rPr>
        <w:t xml:space="preserve"> (Таблица 1). С добавлением конъюгатной вакцины против инфекции, вызванной Haemop</w:t>
      </w:r>
      <w:r>
        <w:rPr>
          <w:rFonts w:ascii="Times New Roman" w:hAnsi="Times New Roman" w:cs="Times New Roman"/>
          <w:color w:val="000000"/>
        </w:rPr>
        <w:t>hilus influenzae (Hib) для мл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денцев в 1990г. и вакцины против гепатита В в 1991г., существующие в настоящее время 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лендари прививок как в ККПИ, так и в ААП рекомендуют давать одновременно от двух до четырёх вакцин при каждом приходе на прививку в течение</w:t>
      </w:r>
      <w:r>
        <w:rPr>
          <w:rFonts w:ascii="Times New Roman" w:hAnsi="Times New Roman" w:cs="Times New Roman"/>
          <w:color w:val="000000"/>
        </w:rPr>
        <w:t xml:space="preserve"> первого года жизни. Более того, ККПИ рекомендует давать всем детям в возрасте 15 месяцев по три-четыре вакцины, соде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жащие в целом восемь антигенов.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 ККПИ, так и ААП призывают медработников вводить все предписанные вакцины при любой возможности для тог</w:t>
      </w:r>
      <w:r>
        <w:rPr>
          <w:rFonts w:ascii="Times New Roman" w:hAnsi="Times New Roman" w:cs="Times New Roman"/>
          <w:color w:val="000000"/>
        </w:rPr>
        <w:t>о, чтобы завершить иммунизацию к окончанию 2-го года жизни. Однако календари детских прививок остаются гибкими и позволяют выполнять пр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вивки в различное время с тем, чтобы не делать несколько уколов за одно посещение. В ос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бенности это касается тех детей,</w:t>
      </w:r>
      <w:r>
        <w:rPr>
          <w:rFonts w:ascii="Times New Roman" w:hAnsi="Times New Roman" w:cs="Times New Roman"/>
          <w:color w:val="000000"/>
        </w:rPr>
        <w:t xml:space="preserve"> чьи родители (или попечители), судя по всему, доброс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вестно приведут их на последующие прививки.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Таблица 1.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Рекомендованный ККПИ и ААП календарь прививок для нормальных младенцев и д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тей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"/>
        <w:gridCol w:w="879"/>
        <w:gridCol w:w="1296"/>
        <w:gridCol w:w="1297"/>
        <w:gridCol w:w="1234"/>
        <w:gridCol w:w="851"/>
        <w:gridCol w:w="1340"/>
        <w:gridCol w:w="876"/>
        <w:gridCol w:w="876"/>
        <w:gridCol w:w="838"/>
        <w:gridCol w:w="5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9567" w:type="dxa"/>
            <w:gridSpan w:val="10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Возраст на момент вакцинации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мес.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мес.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мес.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мес.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мес.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мес.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4-6 лет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11-12 лет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Полио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Полио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Полио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КПК***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КПК**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КПК*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КПК**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HbOК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HbOК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HbOК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HbOК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АКДС-HbOК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АКДС-HbOК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АКДС-HbOК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АКДС-HbOК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PRP-T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PRP-T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PRP-T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PRP-T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PRP-OMP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PRP-OMP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PRP-OMP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Геп. 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Геп. 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Геп. В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¤¤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Геп. В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¤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Геп. 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Геп. В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¤¤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HbOК = олигосахаридный конъюгат Haemophilus influenzae типа b.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PRP-T = капсулярный полисахарид Haemophilus influenzae типа b, конъюгированный со столбнячным анатоксином.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PRP-OMP = капс</w:t>
      </w:r>
      <w:r>
        <w:rPr>
          <w:rFonts w:ascii="Times New Roman" w:hAnsi="Times New Roman" w:cs="Times New Roman"/>
          <w:color w:val="000000"/>
        </w:rPr>
        <w:t>улярный полисахарид Haemophilus influenzae типа b, конъюгирова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ный с комплексом белка наружной мембраны N.meningitidis.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 Рекомендовано ККПИ.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** Рекомендовано ААП.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***Рекомендовано ККПИ в любое время в возрасте от 12 месяцев до 15 месяцев.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¤</w:t>
      </w:r>
      <w:r>
        <w:rPr>
          <w:rFonts w:ascii="Times New Roman" w:hAnsi="Times New Roman" w:cs="Times New Roman"/>
          <w:color w:val="000000"/>
        </w:rPr>
        <w:t xml:space="preserve"> Факультативны</w:t>
      </w:r>
      <w:r>
        <w:rPr>
          <w:rFonts w:ascii="Times New Roman" w:hAnsi="Times New Roman" w:cs="Times New Roman"/>
          <w:color w:val="000000"/>
        </w:rPr>
        <w:t>й график прививок против гепатита В можно начинать в возрасте от 1 до 2 месяцев.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¤¤</w:t>
      </w:r>
      <w:r>
        <w:rPr>
          <w:rFonts w:ascii="Times New Roman" w:hAnsi="Times New Roman" w:cs="Times New Roman"/>
          <w:color w:val="000000"/>
        </w:rPr>
        <w:t>Рекомендовано ККПИ в любое время в возрасте от 6 до 18 месяцев.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Важность сочетанного введения вакцин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Сочетанное введение всех вакцин, положенных ребёнку - это важная стратег</w:t>
      </w:r>
      <w:r>
        <w:rPr>
          <w:rFonts w:ascii="Times New Roman" w:hAnsi="Times New Roman" w:cs="Times New Roman"/>
          <w:color w:val="000000"/>
        </w:rPr>
        <w:t>ия, пр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званная обеспечить выполнение прививок по календарю. Чем больше раз членам семьи пр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ходится водить ребёнка на прививки к медработнику, тем больше вероятность того, что 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бёнок пропустит какие-то прививки и останется незащищённым. Сочетанное введение</w:t>
      </w:r>
      <w:r>
        <w:rPr>
          <w:rFonts w:ascii="Times New Roman" w:hAnsi="Times New Roman" w:cs="Times New Roman"/>
          <w:color w:val="000000"/>
        </w:rPr>
        <w:t xml:space="preserve"> ва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цин также является важной стратегией вакцинации, пусть и с опозданием, тех детей, которые вовремя не получили вакцин. Последние исследования показывают, что для тех детей, кот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рые поздно - в возрасте старше 3-х месяцев - начинают свой график прививок, </w:t>
      </w:r>
      <w:r>
        <w:rPr>
          <w:rFonts w:ascii="Times New Roman" w:hAnsi="Times New Roman" w:cs="Times New Roman"/>
          <w:color w:val="000000"/>
        </w:rPr>
        <w:t>вероятность получения надлежащих прививок к моменту достижения ими 2-летнего возраста в три раза меньше, чем для детей, которым вводить серии вакцин начинают своевременно.</w:t>
      </w:r>
      <w:r>
        <w:rPr>
          <w:rStyle w:val="a6"/>
          <w:rFonts w:ascii="Times New Roman" w:hAnsi="Times New Roman" w:cs="Times New Roman"/>
          <w:color w:val="000000"/>
        </w:rPr>
        <w:endnoteReference w:customMarkFollows="1" w:id="4"/>
        <w:t>4</w:t>
      </w:r>
      <w:r>
        <w:rPr>
          <w:rStyle w:val="a6"/>
          <w:rFonts w:ascii="Times New Roman" w:hAnsi="Times New Roman" w:cs="Times New Roman"/>
          <w:color w:val="000000"/>
        </w:rPr>
        <w:t>,5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Важность своевременной вакцинации была графически продемонстрирована в ходе эпи</w:t>
      </w:r>
      <w:r>
        <w:rPr>
          <w:rFonts w:ascii="Times New Roman" w:hAnsi="Times New Roman" w:cs="Times New Roman"/>
          <w:color w:val="000000"/>
        </w:rPr>
        <w:t>демии кори 1989 - 1991гг. в США, поразившей главным образом дошкольников, которые оказались уязвимыми, поскольку не получили коревой вакцины в надлежащем возрасте.</w:t>
      </w:r>
      <w:r>
        <w:rPr>
          <w:rStyle w:val="a6"/>
          <w:rFonts w:ascii="Times New Roman" w:hAnsi="Times New Roman" w:cs="Times New Roman"/>
          <w:color w:val="000000"/>
        </w:rPr>
        <w:endnoteReference w:customMarkFollows="1" w:id="5"/>
        <w:t>6</w:t>
      </w:r>
      <w:r>
        <w:rPr>
          <w:rFonts w:ascii="Times New Roman" w:hAnsi="Times New Roman" w:cs="Times New Roman"/>
          <w:color w:val="000000"/>
        </w:rPr>
        <w:t xml:space="preserve"> 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следования вспышек показали, что многие случаи заболевания корью можно было бы предотвра</w:t>
      </w:r>
      <w:r>
        <w:rPr>
          <w:rFonts w:ascii="Times New Roman" w:hAnsi="Times New Roman" w:cs="Times New Roman"/>
          <w:color w:val="000000"/>
        </w:rPr>
        <w:t>тить, если бы коревая - паротитно - краснушная (КПК) вакцина вводилась при вв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дении другой вакцины.</w:t>
      </w:r>
      <w:r>
        <w:rPr>
          <w:rStyle w:val="a6"/>
          <w:rFonts w:ascii="Times New Roman" w:hAnsi="Times New Roman" w:cs="Times New Roman"/>
          <w:color w:val="000000"/>
        </w:rPr>
        <w:endnoteReference w:customMarkFollows="1" w:id="6"/>
        <w:t>7</w:t>
      </w:r>
      <w:r>
        <w:rPr>
          <w:rStyle w:val="a6"/>
          <w:rFonts w:ascii="Times New Roman" w:hAnsi="Times New Roman" w:cs="Times New Roman"/>
          <w:color w:val="000000"/>
        </w:rPr>
        <w:t>,8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Низкие показатели охвата по всем вакцинам среди детей дошкольного возраста, в час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ности не достигших 2-х лет, остаются проблемой в программах иммунизац</w:t>
      </w:r>
      <w:r>
        <w:rPr>
          <w:rFonts w:ascii="Times New Roman" w:hAnsi="Times New Roman" w:cs="Times New Roman"/>
          <w:color w:val="000000"/>
        </w:rPr>
        <w:t>ии в Соединённых Штатах.</w:t>
      </w:r>
      <w:r>
        <w:rPr>
          <w:rStyle w:val="a6"/>
          <w:rFonts w:ascii="Times New Roman" w:hAnsi="Times New Roman" w:cs="Times New Roman"/>
          <w:color w:val="000000"/>
        </w:rPr>
        <w:endnoteReference w:customMarkFollows="1" w:id="7"/>
        <w:t>9</w:t>
      </w:r>
      <w:r>
        <w:rPr>
          <w:rFonts w:ascii="Times New Roman" w:hAnsi="Times New Roman" w:cs="Times New Roman"/>
          <w:color w:val="000000"/>
        </w:rPr>
        <w:t xml:space="preserve"> Данные исследований, посвящённых охвату прививками, неоднократно показыв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ют, что неполучение детьми всех вакцин, которые им положены - это серьёзная причина низкого охвата прививками. Обследования отчётной документации в 21 город</w:t>
      </w:r>
      <w:r>
        <w:rPr>
          <w:rFonts w:ascii="Times New Roman" w:hAnsi="Times New Roman" w:cs="Times New Roman"/>
          <w:color w:val="000000"/>
        </w:rPr>
        <w:t>е Соединённых Штатов показали, что лишь от 42 до 65% детей, поступающих в школу, имели все необход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мые прививки к своему первому дню рождения, и лишь от 10 до 42% имели эти прививки к своему второму дню рождения (B.Zell, готовится к печати). Эти исследован</w:t>
      </w:r>
      <w:r>
        <w:rPr>
          <w:rFonts w:ascii="Times New Roman" w:hAnsi="Times New Roman" w:cs="Times New Roman"/>
          <w:color w:val="000000"/>
        </w:rPr>
        <w:t>ия также показ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ли, что при введении 4-й дозы коклюшно - дифтерийно - столбнячной вакцины (АКДС) о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 xml:space="preserve">новременно с КПК показатели охвата прививками АКДС - вакцины можно поднять на 9 - </w:t>
      </w:r>
      <w:r>
        <w:rPr>
          <w:rFonts w:ascii="Times New Roman" w:hAnsi="Times New Roman" w:cs="Times New Roman"/>
          <w:color w:val="000000"/>
        </w:rPr>
        <w:lastRenderedPageBreak/>
        <w:t xml:space="preserve">17%, и если бы были использованы все возможности для сочетанных вакцинаций, </w:t>
      </w:r>
      <w:r>
        <w:rPr>
          <w:rFonts w:ascii="Times New Roman" w:hAnsi="Times New Roman" w:cs="Times New Roman"/>
          <w:color w:val="000000"/>
        </w:rPr>
        <w:t>то число детей, надлежащим образом привитых к 2-летнему возрасту, возросло бы примерно на 20% (V.Dietz, личное сообщение, 1992г.). Исследование, проведённое недавно в штате Небраска, показало, что 77% детей, отставших от своих календарей прививок в возраст</w:t>
      </w:r>
      <w:r>
        <w:rPr>
          <w:rFonts w:ascii="Times New Roman" w:hAnsi="Times New Roman" w:cs="Times New Roman"/>
          <w:color w:val="000000"/>
        </w:rPr>
        <w:t>е 24 месяцев, могли бы иметь все прививки своевременно, если бы надлежащие вакцины им вводили соч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танно.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 xml:space="preserve"> Регистрационные данные по прививкам, взятые из отчётов при проведении аудито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ских проверок в штате Джорджия, показали, что охват вакцинацией значитель</w:t>
      </w:r>
      <w:r>
        <w:rPr>
          <w:rFonts w:ascii="Times New Roman" w:hAnsi="Times New Roman" w:cs="Times New Roman"/>
          <w:color w:val="000000"/>
        </w:rPr>
        <w:t>но повышается при сокращении числа упущенных возможностей для сочетанного введения вакцин.</w:t>
      </w:r>
      <w:bookmarkStart w:id="1" w:name="_Ref362226968"/>
      <w:r>
        <w:rPr>
          <w:rStyle w:val="a6"/>
          <w:rFonts w:ascii="Times New Roman" w:hAnsi="Times New Roman" w:cs="Times New Roman"/>
          <w:color w:val="000000"/>
        </w:rPr>
        <w:endnoteReference w:customMarkFollows="1" w:id="8"/>
        <w:t>1</w:t>
      </w:r>
      <w:bookmarkEnd w:id="1"/>
      <w:r>
        <w:rPr>
          <w:rStyle w:val="a6"/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анализа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настоящем анализе мы рассматриваем данные о безопасности и иммуногенности, 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сающиеся сочетанного введения детских вак</w:t>
      </w:r>
      <w:r>
        <w:rPr>
          <w:rFonts w:ascii="Times New Roman" w:hAnsi="Times New Roman" w:cs="Times New Roman"/>
          <w:color w:val="000000"/>
        </w:rPr>
        <w:t>цин. Сюда включены исследования только по тем вакцинам, которые в настоящее время рекомендуются ККПИ и ААП для первых 2-х лет жизни.Наиболее актуальные исследования рассматриваются применительно к группам, соо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ветствующим классификациям календарей прививок</w:t>
      </w:r>
      <w:r>
        <w:rPr>
          <w:rFonts w:ascii="Times New Roman" w:hAnsi="Times New Roman" w:cs="Times New Roman"/>
          <w:color w:val="000000"/>
        </w:rPr>
        <w:t>. В тексте кратко рассмотрены некот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рые другие исследования, а в Таблицах 2 и 3 собраны сведения по всем рассмотренным 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следованиям.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АКДС и полиомиелитная вакцины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Большинство исследований, посвящённых введению АКДС-вакцины в сочетании тол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ко с трёхвалентн</w:t>
      </w:r>
      <w:r>
        <w:rPr>
          <w:rFonts w:ascii="Times New Roman" w:hAnsi="Times New Roman" w:cs="Times New Roman"/>
          <w:color w:val="000000"/>
        </w:rPr>
        <w:t>ой оральной полиомиелитной вакциной (ТОПВ) были завершены до 1970г., т.е. до того, как в графики детских прививок были включены конъюгатные вакцины Haemophilus influenzae и вакцина против гепатита В. О безопасности и клинической эффе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тивности этого сочетан</w:t>
      </w:r>
      <w:r>
        <w:rPr>
          <w:rFonts w:ascii="Times New Roman" w:hAnsi="Times New Roman" w:cs="Times New Roman"/>
          <w:color w:val="000000"/>
        </w:rPr>
        <w:t>ия серьёзно свидетельствуют результаты научных исследований и 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чти 30-летняя практика регулярного применения, при которой число новых случаев этих 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болеваний значительно уменьшилось. Читатель может посмотреть работы Parkman et al.</w:t>
      </w:r>
      <w:r>
        <w:rPr>
          <w:rFonts w:ascii="Times New Roman" w:hAnsi="Times New Roman" w:cs="Times New Roman"/>
          <w:color w:val="000000"/>
          <w:vertAlign w:val="superscript"/>
        </w:rPr>
        <w:t>55</w:t>
      </w:r>
      <w:r>
        <w:rPr>
          <w:rFonts w:ascii="Times New Roman" w:hAnsi="Times New Roman" w:cs="Times New Roman"/>
          <w:color w:val="000000"/>
        </w:rPr>
        <w:t xml:space="preserve"> и Halsey and Galazka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  <w:r>
        <w:rPr>
          <w:rFonts w:ascii="Times New Roman" w:hAnsi="Times New Roman" w:cs="Times New Roman"/>
          <w:color w:val="000000"/>
        </w:rPr>
        <w:t>, которые суммировали данные множества таких научных исследований.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Данные по сочетанному применению АКДС-вакцины и инактивированной полиоми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литной вакцины (ИПВ) менее объёмны. Обычно они показывают хорошую реакцию на ИПВ, но изменчивую реакцию на коклюшны</w:t>
      </w:r>
      <w:r>
        <w:rPr>
          <w:rFonts w:ascii="Times New Roman" w:hAnsi="Times New Roman" w:cs="Times New Roman"/>
          <w:color w:val="000000"/>
        </w:rPr>
        <w:t>е антигены. Несмотря на хорошую эффективность при практическом применении, недавние исследования указывают на то, что разные цельнокл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точные коклюшные вакцины вызывают различный антительный ответ и что такой ответ м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жет быть ослаблен, если давать АКДС в со</w:t>
      </w:r>
      <w:r>
        <w:rPr>
          <w:rFonts w:ascii="Times New Roman" w:hAnsi="Times New Roman" w:cs="Times New Roman"/>
          <w:color w:val="000000"/>
        </w:rPr>
        <w:t>четании с инактивированной полиомиелитной вакциной. Однако же нет ясности по поводу клинической значимости этих выводов, 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скольку титры коклюшных антител обычно плохо коррелируют с защитой от болезни.</w:t>
      </w:r>
      <w:r>
        <w:rPr>
          <w:rFonts w:ascii="Times New Roman" w:hAnsi="Times New Roman" w:cs="Times New Roman"/>
          <w:color w:val="000000"/>
          <w:vertAlign w:val="superscript"/>
        </w:rPr>
        <w:t>13, 39, 57, 58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проведении испытаний вакцин в Соедин</w:t>
      </w:r>
      <w:r>
        <w:rPr>
          <w:rFonts w:ascii="Times New Roman" w:hAnsi="Times New Roman" w:cs="Times New Roman"/>
          <w:color w:val="000000"/>
        </w:rPr>
        <w:t>ённых Штатах и Канаде Baker et al.</w:t>
      </w:r>
      <w:r>
        <w:rPr>
          <w:rFonts w:ascii="Times New Roman" w:hAnsi="Times New Roman" w:cs="Times New Roman"/>
          <w:color w:val="000000"/>
          <w:vertAlign w:val="superscript"/>
        </w:rPr>
        <w:t>13</w:t>
      </w:r>
      <w:r>
        <w:rPr>
          <w:rFonts w:ascii="Times New Roman" w:hAnsi="Times New Roman" w:cs="Times New Roman"/>
          <w:color w:val="000000"/>
        </w:rPr>
        <w:t xml:space="preserve"> о</w:t>
      </w:r>
      <w:r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>наружили пониженный ответ на каждый из пяти коклюшных антигенов при введении АКДС совместно с ИПВ (как в виде четырёхвалентной вакцины, так и как две вакцины по отдел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ности в различные места) по сравнению с ответом пр</w:t>
      </w:r>
      <w:r>
        <w:rPr>
          <w:rFonts w:ascii="Times New Roman" w:hAnsi="Times New Roman" w:cs="Times New Roman"/>
          <w:color w:val="000000"/>
        </w:rPr>
        <w:t>и сочетанном введении АКДС (той же фирмы-изготовителя) и ОПВ. У пятидесяти восьми детей, привитых тремя дозами АКДС и ИПВ, имелись  филаментозные гемагглютинины в количестве 14,3 (ассоциированная вакц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на) и 30,6 (при одновременном введении в разные места) </w:t>
      </w:r>
      <w:r>
        <w:rPr>
          <w:rFonts w:ascii="Times New Roman" w:hAnsi="Times New Roman" w:cs="Times New Roman"/>
          <w:color w:val="000000"/>
        </w:rPr>
        <w:t>единиц ферментного иммуноанал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за (ФИА) по сравнению с 69,7 единиц ФИА у детей, сочетанно привитых вакцинами АКДС и ОПВ.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Qureshi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al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vertAlign w:val="superscript"/>
        </w:rPr>
        <w:t>39</w:t>
      </w:r>
      <w:r>
        <w:rPr>
          <w:rFonts w:ascii="Times New Roman" w:hAnsi="Times New Roman" w:cs="Times New Roman"/>
          <w:color w:val="000000"/>
        </w:rPr>
        <w:t xml:space="preserve"> обнаружили небольшое уменьшение величины среднегеометрического титра (СГТ) коклюшных агглютининов при сочетанном введен</w:t>
      </w:r>
      <w:r>
        <w:rPr>
          <w:rFonts w:ascii="Times New Roman" w:hAnsi="Times New Roman" w:cs="Times New Roman"/>
          <w:color w:val="000000"/>
        </w:rPr>
        <w:t>ии АКДС и ИПВ, однако не было отмечено значительных различий в численности детей, у которых были достигнуты титры, считающиеся защитными. Однако же, поскольку коклюшные вакцины могут знач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тельно различаться по иммуногенности, а рандомизированных испытаний </w:t>
      </w:r>
      <w:r>
        <w:rPr>
          <w:rFonts w:ascii="Times New Roman" w:hAnsi="Times New Roman" w:cs="Times New Roman"/>
          <w:color w:val="000000"/>
        </w:rPr>
        <w:t xml:space="preserve">с аналогичными </w:t>
      </w:r>
      <w:r>
        <w:rPr>
          <w:rFonts w:ascii="Times New Roman" w:hAnsi="Times New Roman" w:cs="Times New Roman"/>
          <w:color w:val="000000"/>
        </w:rPr>
        <w:lastRenderedPageBreak/>
        <w:t>АКДС-вакцинами, вводимыми как вместе с ИПВ, так и без ИПВ, было проведено немного, нет ясности по поводу того, имеет ли место негативное влияние, а также по поводу значимости ослабленного ответа.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АКДС, полиомиелитная и КПК вакцины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Сочетанное</w:t>
      </w:r>
      <w:r>
        <w:rPr>
          <w:rFonts w:ascii="Times New Roman" w:hAnsi="Times New Roman" w:cs="Times New Roman"/>
          <w:color w:val="000000"/>
        </w:rPr>
        <w:t xml:space="preserve"> введение КПК, АКДС и ТОПВ вакцин в возрасте 15 месяцев рекомендуется ККПИ с 1986г. Ни в одном из исследований, посвящённых изучению этого сочетания вакцин (хотя таких исследований опубликовано мало), нет указаний на то, что одновременное введение вакцин м</w:t>
      </w:r>
      <w:r>
        <w:rPr>
          <w:rFonts w:ascii="Times New Roman" w:hAnsi="Times New Roman" w:cs="Times New Roman"/>
          <w:color w:val="000000"/>
        </w:rPr>
        <w:t>ожет вызывать какие-то проблемы.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Наиболее полное проспективное исследование, которое напрямую оценило безопасность и иммуногенность вакцин КПК, АКДС и ТОПВ при их сочетанном введении, провели Deforest et al.</w:t>
      </w:r>
      <w:r>
        <w:rPr>
          <w:rFonts w:ascii="Times New Roman" w:hAnsi="Times New Roman" w:cs="Times New Roman"/>
          <w:color w:val="000000"/>
          <w:vertAlign w:val="superscript"/>
        </w:rPr>
        <w:t xml:space="preserve">49 </w:t>
      </w:r>
      <w:r>
        <w:rPr>
          <w:rFonts w:ascii="Times New Roman" w:hAnsi="Times New Roman" w:cs="Times New Roman"/>
          <w:color w:val="000000"/>
        </w:rPr>
        <w:t>Они изучили 776 детей в возрасте от 14 до 23 м</w:t>
      </w:r>
      <w:r>
        <w:rPr>
          <w:rFonts w:ascii="Times New Roman" w:hAnsi="Times New Roman" w:cs="Times New Roman"/>
          <w:color w:val="000000"/>
        </w:rPr>
        <w:t>есяцев, которые ранее уже получили 3 дозы АКДС и 2 дозы ТОПВ. Из субъектов исследования методом случайного отбора были сформированы экспериментальная группа, которая получала одновременно КПК, АКДС и ТОПВ, и контрольная группа, которая получала КПК плюс пл</w:t>
      </w:r>
      <w:r>
        <w:rPr>
          <w:rFonts w:ascii="Times New Roman" w:hAnsi="Times New Roman" w:cs="Times New Roman"/>
          <w:color w:val="000000"/>
        </w:rPr>
        <w:t xml:space="preserve">ацебо, при этом АКДС и ТОПВ давали спустя 2 месяца. Не было отмечено значительных различий в возникновении местных или общих реакций в какой-то из групп. Местные реакции на КПК регистрировались значительно чаще, когда в другую руку одновременно вводили не </w:t>
      </w:r>
      <w:r>
        <w:rPr>
          <w:rFonts w:ascii="Times New Roman" w:hAnsi="Times New Roman" w:cs="Times New Roman"/>
          <w:color w:val="000000"/>
        </w:rPr>
        <w:t>плацебо, а АКДС (39% против 6%). Титры антител, обеспечивающие защиту от кори, паротита, краснухи, дифтерии, столбняка и полиомиелита вырабатывались более чем у 96% субъектов исследования в обеих группах. Минимальные защитные титры антител к коклюшу не был</w:t>
      </w:r>
      <w:r>
        <w:rPr>
          <w:rFonts w:ascii="Times New Roman" w:hAnsi="Times New Roman" w:cs="Times New Roman"/>
          <w:color w:val="000000"/>
        </w:rPr>
        <w:t xml:space="preserve">и установлены, однако более чем у 98% детей уровень выработанных коклюшных антител составил  </w:t>
      </w:r>
      <w:r>
        <w:rPr>
          <w:rFonts w:ascii="Times New Roman" w:hAnsi="Times New Roman" w:cs="Times New Roman"/>
          <w:color w:val="000000"/>
        </w:rPr>
        <w:sym w:font="Courier New" w:char="003D"/>
      </w:r>
      <w:r>
        <w:rPr>
          <w:rFonts w:ascii="Times New Roman" w:hAnsi="Times New Roman" w:cs="Times New Roman"/>
          <w:color w:val="000000"/>
        </w:rPr>
        <w:t xml:space="preserve"> 16 (прямая реакция цельноклеточной агглютинации).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Изучение сочетанного введения АКДС, полиомиелитной, Haemophilus in</w:t>
      </w:r>
      <w:r>
        <w:rPr>
          <w:rFonts w:ascii="Times New Roman" w:hAnsi="Times New Roman" w:cs="Times New Roman"/>
          <w:color w:val="000000"/>
        </w:rPr>
        <w:t>fluenzae типа B и гепатитной В вакцин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180"/>
        <w:gridCol w:w="1939"/>
        <w:gridCol w:w="992"/>
        <w:gridCol w:w="850"/>
        <w:gridCol w:w="1593"/>
        <w:gridCol w:w="3088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Автор (Список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5374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Структура исследования</w:t>
            </w:r>
          </w:p>
        </w:tc>
        <w:tc>
          <w:tcPr>
            <w:tcW w:w="3085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Безопасность</w:t>
            </w:r>
          </w:p>
        </w:tc>
        <w:tc>
          <w:tcPr>
            <w:tcW w:w="368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Сероконверсия/Эффективность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опублик.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исследования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Группы / антигены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Возраст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Выборка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(Изучаемая группа)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Avendano et al.11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</w:t>
            </w:r>
            <w:r>
              <w:rPr>
                <w:rFonts w:ascii="Times New Roman" w:hAnsi="Times New Roman" w:cs="Times New Roman"/>
                <w:color w:val="000000"/>
              </w:rPr>
              <w:t>ли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АКДС/PRP-T (смешанные в одном шприце) + растворитель / плацебо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АКДС/плацебо + растворитель? PRP-T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АКДС/плацебо + растворитель/плацебо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месяцев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См. Ferreccio et al.12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 3-х доз: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Анти-PRP (мкг/мл): (1) 6,9</w:t>
            </w:r>
            <w:r>
              <w:rPr>
                <w:rFonts w:ascii="Times New Roman" w:hAnsi="Times New Roman" w:cs="Times New Roman"/>
                <w:color w:val="000000"/>
              </w:rPr>
              <w:t>4, (2) 9,93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Анти-Д (МЕ/мл) (1) 0,66, (2) 0,50, (3) 0,53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Анти-С (МЕ/мл) (1) 0,21, (2) 0,27, (3) 0,23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Коклюшный анатоксин (единиц/мл): (1) 4,6, (2) 7,2, (3) 7,9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Коклюш анти-ФГА (единиц/мл): (1) 6,2, (2) 7,2, (3) 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Baker et al.13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Штаты, Ка</w:t>
            </w:r>
            <w:r>
              <w:rPr>
                <w:rFonts w:ascii="Times New Roman" w:hAnsi="Times New Roman" w:cs="Times New Roman"/>
                <w:color w:val="000000"/>
              </w:rPr>
              <w:t>нада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АКДС/ИПВ Канада (комбинированная)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АКДСКанада+ ИПВ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АКДСКанада+ ОПВ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(4) АКДС США + ОПВ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(5) АКДС США + ОПВ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месяцев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сообщается.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 3-х доз: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Анти-коклюшный токсин (единицы иммуноферментного анализа</w:t>
            </w:r>
            <w:r>
              <w:rPr>
                <w:rFonts w:ascii="Times New Roman" w:hAnsi="Times New Roman" w:cs="Times New Roman"/>
                <w:color w:val="000000"/>
              </w:rPr>
              <w:t>, ЕИА: (1) 5,6, (2) 5,4, (3) 30,8, (4) 137, (5) 458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Анти-ФГА (единицы ЕИА): (1) 14,3, (2) 30,6, (3) 69,7, (4) и (5) нет отличий от (3)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Анти-69-kDa OMP (единицы ЕИА): 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4688, (2) 6209, (3) 11 092, (4) 4207, (5) 8995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Анти-бахромки 2 и 3 (единицы ЕИА): (1)</w:t>
            </w:r>
            <w:r>
              <w:rPr>
                <w:rFonts w:ascii="Times New Roman" w:hAnsi="Times New Roman" w:cs="Times New Roman"/>
                <w:color w:val="000000"/>
              </w:rPr>
              <w:t xml:space="preserve"> 653, (2) 542, (3) 2931, (4) 378, (5) 1132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Анти-WB (единицы ЕИА): (1) 198, (3) 984, (4) и (5) нет отличий от 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Barone et al.14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Италия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Геп В, Геп В + АКДС + ОПВ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Геп В, Геп В + АКДС + ОПВ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АКДС + ОПВ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рождении, 3, 4, 10 месяцев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сообщается.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Сероконверсия 2 после Дозы 4 Геп В: (1) 96%, (2) 100%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различий между группами по ответу на Д, С и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Black et al.15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ОПВ + HbOC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ОПВ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20800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месяцев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Систематическая по д</w:t>
            </w:r>
            <w:r>
              <w:rPr>
                <w:rFonts w:ascii="Times New Roman" w:hAnsi="Times New Roman" w:cs="Times New Roman"/>
                <w:color w:val="000000"/>
              </w:rPr>
              <w:t>атам рождения. В Группу 2 включены отклонения по HbOC.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сообщается.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 клинич. эффективность для HbOC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95% CI (68, 100) (</w:t>
            </w:r>
            <w:r>
              <w:rPr>
                <w:rFonts w:ascii="Times New Roman" w:hAnsi="Times New Roman" w:cs="Times New Roman"/>
                <w:color w:val="000000"/>
              </w:rPr>
              <w:t>см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 Black15)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Black et al.15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Эффективность вакцины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ОПВ + HbOC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ОПВ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Безопасность вакцины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HbOC (? + ОПВ)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(? + ОПВ)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HbOC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20800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30680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4047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2337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месяцев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указано. </w:t>
            </w:r>
          </w:p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Выборка по принципу удобства для Групп 2 и 3.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Отсутствие различий в соматических реакциях между Группами 1, 3. Нет различий в  госпитализации или </w:t>
            </w:r>
            <w:r>
              <w:rPr>
                <w:rFonts w:ascii="Times New Roman" w:hAnsi="Times New Roman" w:cs="Times New Roman"/>
                <w:color w:val="000000"/>
              </w:rPr>
              <w:t>обращениях за неотложной помощью получивших HbOC, в течение 30 дней после прививки, между привитыми HbOC и непривитыми HbOC в другое время. Более низкие уровни СВСД среди получавших HbOC по сравнению с обычным населением в изучаемом районе.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 97% получивши</w:t>
            </w:r>
            <w:r>
              <w:rPr>
                <w:rFonts w:ascii="Times New Roman" w:hAnsi="Times New Roman" w:cs="Times New Roman"/>
                <w:color w:val="000000"/>
              </w:rPr>
              <w:t xml:space="preserve">х HbOC (n = 144) имелись анти-PRP антитела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1,0 мкг/мл спустя 15 - 45 дней после введения третьей дозы.</w:t>
            </w:r>
          </w:p>
        </w:tc>
      </w:tr>
    </w:tbl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53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180"/>
        <w:gridCol w:w="1939"/>
        <w:gridCol w:w="992"/>
        <w:gridCol w:w="850"/>
        <w:gridCol w:w="1590"/>
        <w:gridCol w:w="3088"/>
        <w:gridCol w:w="284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Black et al.16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АКДС/HbOC (комбинированная)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HbOC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АКДС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6447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Неизв.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Неизв.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месяцев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Выборка по принципу удобства для Групп 2 и 3.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Отсутствие различий между группами в отношении местных и соматич. эффектов. Нет различий в обращениях за неотложной помощью в течение 30 дней или в стационировании в течение 60 дней. Показатель </w:t>
            </w:r>
            <w:r>
              <w:rPr>
                <w:rFonts w:ascii="Times New Roman" w:hAnsi="Times New Roman" w:cs="Times New Roman"/>
                <w:color w:val="000000"/>
              </w:rPr>
              <w:t>СВСД  для АКДС/HbOC такой же, как и обычно в прошлом.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Иммуногенность всех антигенов у 123 испытуемых ”одинаковая” для (1) как и для (2).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Booy et al.17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2" w:name="OrfoInsertPosHyph"/>
            <w:bookmarkEnd w:id="2"/>
            <w:r>
              <w:rPr>
                <w:rFonts w:ascii="Times New Roman" w:hAnsi="Times New Roman" w:cs="Times New Roman"/>
                <w:color w:val="000000"/>
              </w:rPr>
              <w:t>Великобритания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ОПВ + PRP-T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ОПВ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26 600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Неизв</w:t>
            </w:r>
            <w:r>
              <w:rPr>
                <w:rFonts w:ascii="Times New Roman" w:hAnsi="Times New Roman" w:cs="Times New Roman"/>
                <w:color w:val="000000"/>
              </w:rPr>
              <w:t>естно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3, 4 мес.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Последовательный подбор из экспериментальн. и контрольн. районов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Серьёзных реакций не отмечено.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случаев Haemophilus influenzae в (1); было 12 случаев во 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Booy et al.18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Великобритания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HbOC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PRP-T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3,5,9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2,3,4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сообщений.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Коклюшный агглютинин 760 в (1) и 620 в (2). У 100% были анти-Д и анти-С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>0.01 мкг/мл.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Bulkow et al.19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ОПВ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ОПВ</w:t>
            </w:r>
            <w:r>
              <w:rPr>
                <w:rFonts w:ascii="Times New Roman" w:hAnsi="Times New Roman" w:cs="Times New Roman"/>
                <w:color w:val="000000"/>
              </w:rPr>
              <w:t xml:space="preserve"> + HbOC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АКДС + ОПВ + PRP-T (жидкая)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(4) АКДС + ОПВ + PRP-T (лиофилиз.)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(5) АКДС + ОПВ + PRP-OMP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Геп. В также вводили 89% всех явившихся в возрасте 2 и 6 мес.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 (ОПВ в возрасте 2, 4 мес.)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Серьёзных реакций не отмече</w:t>
            </w:r>
            <w:r>
              <w:rPr>
                <w:rFonts w:ascii="Times New Roman" w:hAnsi="Times New Roman" w:cs="Times New Roman"/>
                <w:color w:val="000000"/>
              </w:rPr>
              <w:t>но.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Меньше случаев сонливости и рвоты в Группе 5, чем в других группах. Побочные эффекты ”несколько меньше” в группе из 25 привитых только вакциной Hib, чем в исследуемых группах. Две смерти от СВСД (Группы 1 и 3).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возрасте 15, 18 мес. процент субъектов,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у которых среднегеометрический титр составил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мкг/мл: (1) 44%; (2) 91%; (3) 86%; (4) 88%; (5) 71%.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Campbell et al.20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1990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Гамбия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</w:rPr>
              <w:t>БЦЖ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</w:rPr>
              <w:t>ОПВ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PRP-OMP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АКДС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</w:rPr>
              <w:t>ОПВ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PRP-OMP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</w:rPr>
              <w:t>АКДС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</w:rPr>
              <w:t>ОПВ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PRP-OMP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АКДС + ОПВ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2,3,4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Только лёгкие реакции. Больше лихорадки в Группах 1 и 2. Больше диареи, рвоты, стридора в Группе 3.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 83,5% (1) и у 83,9% (2)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>0,15 мкг/мл анти-PRP спустя 1 месяц пос</w:t>
            </w:r>
            <w:r>
              <w:rPr>
                <w:rFonts w:ascii="Times New Roman" w:hAnsi="Times New Roman" w:cs="Times New Roman"/>
                <w:color w:val="000000"/>
              </w:rPr>
              <w:t xml:space="preserve">ле второй дозы. У 25% (3)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 анти-PRP в 5 мес. У 54% (1) и 60,7% (2)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 xml:space="preserve">1,0 мкг/мл спустя 1 месяц после второй дозы. Не было в (3) уровней анти-PRP 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>1,0 мкг/мл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Coursaget et 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al. 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1986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Сенегал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Геп. В 3 дозы с интервалом 6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АПКДС + БЦЖ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АПКДС спустя 6 и 12 мес. после первой дозы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(3)АПКДС+БЦЖ+ГепВ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АПКДС + ГепВ спустя 6 и 12 мес. после 1-й дозы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3 - 24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отмечено каких-либо </w:t>
            </w:r>
            <w:r>
              <w:rPr>
                <w:rFonts w:ascii="Times New Roman" w:hAnsi="Times New Roman" w:cs="Times New Roman"/>
                <w:color w:val="000000"/>
              </w:rPr>
              <w:t>общих или тяжёлых нежелательных побочных эффектов.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 3-х доз СГТ для (2) по сравн. с (3) (МЕ/мл): анти-С, 1,775 против 1,622; анти-Д, 1,34 против 0,90; коклюшные агглютинины, 35,2 против 25,8;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95,8% (1) и 89,9% (2) с анти-ГепВ - позитивн. после 2-х доз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Dashefsky et 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al. 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ОПВ + PRP-OMP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ОПВ, HbOC 1 мес. спустя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14 - 23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различий в реакциях при раздельном или совместном введении вакцин.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 95% (1), 100% (2) после одной дозы. Нет значительных различий между группами в отношении анти-дифтерийного или анти-столбнячного ответа.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Eskola et al.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Финляндия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АКДС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ИПВ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КПК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АКДС +ИПВ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КПК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АКДС + ИПВ + PRP-D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14-18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3,4,5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6,12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14-18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мес.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анафилаксии, смертей или стойких последствий в течение 2-летнего последующего наблюдения.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90% клиническая эффективность (95% CI (70, 96) у PRP-D после 3-х доз; 94% после бустерной дозы.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подгруппах из 113 детей у 70% были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 после 3-х доз; у 100% были 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 xml:space="preserve"> 1,0 мкг</w:t>
            </w:r>
            <w:r>
              <w:rPr>
                <w:rFonts w:ascii="Times New Roman" w:hAnsi="Times New Roman" w:cs="Times New Roman"/>
                <w:color w:val="000000"/>
              </w:rPr>
              <w:t>/мл после 4-й дозы.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Eskola et al.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Финляндия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АКДС/PRP-D (смеш. в шприце)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АКДС/PRP-D + 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PRP-D + 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АКДС + 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ИПВ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мес.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Несколько повышенные уровни местных и общи</w:t>
            </w:r>
            <w:r>
              <w:rPr>
                <w:rFonts w:ascii="Times New Roman" w:hAnsi="Times New Roman" w:cs="Times New Roman"/>
                <w:color w:val="000000"/>
              </w:rPr>
              <w:t xml:space="preserve">х реакций в 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Группе 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различий между группами в иммунном ответе на Д, С и полио. Анти-PRP 4,87 мкг/мл после 4-х доз.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Eskola et al. 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Финляндия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КПК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 + ИПВ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АКДС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ИПВ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КПК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АКДС + ИПВ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30 000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4, 5 мс.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12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Один случай (3 мес., Группа 1) судорог, один случай (3 мес., Группа 1) гипотензии-гипореактивности. Прочие реакции малочисленны. О резу</w:t>
            </w:r>
            <w:r>
              <w:rPr>
                <w:rFonts w:ascii="Times New Roman" w:hAnsi="Times New Roman" w:cs="Times New Roman"/>
                <w:color w:val="000000"/>
              </w:rPr>
              <w:t>льтатах сравнения между собой групп не сообщается.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Серология проведена у 99 испытуемых. СГТ для анти-PRP = 0,42 мкг/мл спустя один месяц после третьей дозы PRP-D. У 62% и 34% уровни анти-PRP составили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 и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>1,0 мкг/мл после третьей дозы PRP-D.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Ferrecchio et al.12 (</w:t>
            </w:r>
            <w:r>
              <w:rPr>
                <w:rFonts w:ascii="Times New Roman" w:hAnsi="Times New Roman" w:cs="Times New Roman"/>
                <w:color w:val="000000"/>
              </w:rPr>
              <w:t>см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Clemens et al.21 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Avendano et al.11)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Чили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АКДС/PRP-T (комбинированная) + плацебо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АКДС/плацебо + PRP-T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(3) АКДС/плацебо + плацебо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</w:t>
            </w:r>
            <w:r>
              <w:rPr>
                <w:rFonts w:ascii="Times New Roman" w:hAnsi="Times New Roman" w:cs="Times New Roman"/>
                <w:color w:val="000000"/>
              </w:rPr>
              <w:t>зированная.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Больше случаев лихорадки в Группе 1. Нет различий в местных реакциях.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 100% (1) и (2) имелись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мкг/мл. У 89% (1) были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1,0 мкг/мл, по сравнению с 98% (2).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(См</w:t>
            </w:r>
            <w:r>
              <w:rPr>
                <w:rFonts w:ascii="Times New Roman" w:hAnsi="Times New Roman" w:cs="Times New Roman"/>
                <w:color w:val="000000"/>
              </w:rPr>
              <w:t>. результаты по Д, С и коклюшу в работе Clemens et al 21).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Greenberg et al.27 (</w:t>
            </w:r>
            <w:r>
              <w:rPr>
                <w:rFonts w:ascii="Times New Roman" w:hAnsi="Times New Roman" w:cs="Times New Roman"/>
                <w:color w:val="000000"/>
              </w:rPr>
              <w:t>См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 Vadheim et al.28)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PRP-T + АКДС + ОПВ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Геп. В + АКДС + ОПВ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5212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Рандомизированная, слепая, с контролем на плацебо.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разли</w:t>
            </w:r>
            <w:r>
              <w:rPr>
                <w:rFonts w:ascii="Times New Roman" w:hAnsi="Times New Roman" w:cs="Times New Roman"/>
                <w:color w:val="000000"/>
              </w:rPr>
              <w:t>чий в реакциях между группами.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 100% уровень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 в возрасте 12 мес. 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71% имели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3E"/>
            </w:r>
            <w:r>
              <w:rPr>
                <w:rFonts w:ascii="Times New Roman" w:hAnsi="Times New Roman" w:cs="Times New Roman"/>
                <w:color w:val="000000"/>
              </w:rPr>
              <w:t xml:space="preserve"> 1,0 мкг/мл в возрасте 12 мес.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Greenberg et al.29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ОП</w:t>
            </w:r>
            <w:r>
              <w:rPr>
                <w:rFonts w:ascii="Times New Roman" w:hAnsi="Times New Roman" w:cs="Times New Roman"/>
                <w:color w:val="000000"/>
              </w:rPr>
              <w:t>В + Геп. 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(Engerix B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D2"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 SKB)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ОПВ + Геп. 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(Recombivax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D2"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 MSD)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(3) </w:t>
            </w:r>
            <w:r>
              <w:rPr>
                <w:rFonts w:ascii="Times New Roman" w:hAnsi="Times New Roman" w:cs="Times New Roman"/>
                <w:color w:val="000000"/>
              </w:rPr>
              <w:t>АКДС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</w:rPr>
              <w:t>ОПВ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PRP-T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5057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”Отсутствуют серьёзные реакции, связываемые с вакцинами против геп</w:t>
            </w:r>
            <w:r>
              <w:rPr>
                <w:rFonts w:ascii="Times New Roman" w:hAnsi="Times New Roman" w:cs="Times New Roman"/>
                <w:color w:val="000000"/>
              </w:rPr>
              <w:t>атита В.” Незначительные реакции одинаковы во всех 3-х группах.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 возрасте 12 мес. у 99% из (1) уровень анти-гепат. 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</w:rPr>
              <w:t>мМЕ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Hogerman et al.30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HbOC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АКДС/HbOC (комбинированная)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378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различий в реакциях между группами.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Значительный повышенный ответ на Д, С,  коклюш., HbOC в Группе 2 по сравнению с Группой 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Kaplan et al. 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PRP-T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АКДС/PRP-T (смесь в шприце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Несколько повышенные местные реакции для (1).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99% общих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мкг/мл после 3-х доз. Нет различий в ответе на Д, С и коклюш.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King et al.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АКДС/HbOC (ком</w:t>
            </w:r>
            <w:r>
              <w:rPr>
                <w:rFonts w:ascii="Times New Roman" w:hAnsi="Times New Roman" w:cs="Times New Roman"/>
                <w:color w:val="000000"/>
              </w:rPr>
              <w:t>бинированная)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HbOC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6, 18 мес.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Только слабые реакции при отсутствии статистически значимых различий между группами.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Средние уровни антител после 4-х доз, (1) в сравнении с (2): анти-Д, 32 против 48 МЕ/мл; анти-С,</w:t>
            </w:r>
            <w:r>
              <w:rPr>
                <w:rFonts w:ascii="Times New Roman" w:hAnsi="Times New Roman" w:cs="Times New Roman"/>
                <w:color w:val="000000"/>
              </w:rPr>
              <w:t xml:space="preserve"> 16,6 против 18,9 МЕ/мл; анти-коклюшн., 256 против 256 (титр); анти-Hib, 37,9 против 31,1 мкг/мл.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Kovel et al.33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АаКДС/PRP-D (комбинированная) + плацебо + ОПВ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АаКДС + PRP-D+ ОПВ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мес.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 Двойная слепа</w:t>
            </w:r>
            <w:r>
              <w:rPr>
                <w:rFonts w:ascii="Times New Roman" w:hAnsi="Times New Roman" w:cs="Times New Roman"/>
                <w:color w:val="000000"/>
              </w:rPr>
              <w:t>я.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значимых различий в общих или местных реакциях.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различий между группами в ответе на аП или на PRP-Д, 91% (1) и 93% (2) с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0,15 мкм/мл.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Mulholland et al.34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Гамбия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АКДС/PRP-OMP (смесь в шпри</w:t>
            </w:r>
            <w:r>
              <w:rPr>
                <w:rFonts w:ascii="Times New Roman" w:hAnsi="Times New Roman" w:cs="Times New Roman"/>
                <w:color w:val="000000"/>
              </w:rPr>
              <w:t>це)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PRP-OMP (7,5 мкг PRP-OMP применяли в обеих группах)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3, 4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значимых различий в местных или  общих реакциях между группами, за исключением большего числа случаев рвоты после Дозы 3 в Группе 1.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СГТ (МЕ</w:t>
            </w:r>
            <w:r>
              <w:rPr>
                <w:rFonts w:ascii="Times New Roman" w:hAnsi="Times New Roman" w:cs="Times New Roman"/>
                <w:color w:val="000000"/>
              </w:rPr>
              <w:t>/мл) после 3-х доз, (1) в сравнении с (2); Анти-Д, 0,74 против 0,93; анти-С; 0,65 против 0,92; коклюшный агглютинин, 203 против 230; анти-PRP, 1,13 против 1,10.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Paradiso35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 + HbOC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2,4,6 мес.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</w:t>
            </w:r>
            <w:r>
              <w:rPr>
                <w:rFonts w:ascii="Times New Roman" w:hAnsi="Times New Roman" w:cs="Times New Roman"/>
                <w:color w:val="000000"/>
              </w:rPr>
              <w:t>общается.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Несколько повышенный ответ на Д, С и К в (1) по сравнению с (2).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Paradiso et al.36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АаКДС/HbOC (комбинированная) бустерная 4-я доза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15 - 21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сообщается.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 96- 97% анти-HbPs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1,0 мкг/мл, независимо от того, вводили первую серию в виде комбинированной вакцины или в виде отдельных вакцин.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Prikazsky et al.37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Бельгия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АКДС/Геп. В (комбинированная)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Свыше 100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4, 5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Небольшие реакции, аналогичные наблюдаем</w:t>
            </w:r>
            <w:r>
              <w:rPr>
                <w:rFonts w:ascii="Times New Roman" w:hAnsi="Times New Roman" w:cs="Times New Roman"/>
                <w:color w:val="000000"/>
              </w:rPr>
              <w:t>ым при применении только АКДС.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3-х доз, у 100% были анти-Геп В.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10 мМЕ/мл, анти-D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 МЕ/мл и анти-С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0,1 МЕ/мл. Коклюшные антитела ”сравнимы” с антителами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одну только вакцину АКДС.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Petola et al.38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Финлянгдия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</w:rPr>
              <w:t>АКДС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</w:rPr>
              <w:t>ИПВ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+PRP-D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КПК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PRP-D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</w:rPr>
              <w:t>АКДС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</w:rPr>
              <w:t>ИПВ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HbOC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КПК + HbOC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60 700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56 500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6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14-18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14-18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Серьёзных реакций не отмечено до возраста 24 месяца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 3-х доз: анти-PRP: (1) 33,7 мкг/мл; (2) 58,3 мкг/мл; Клиническая эффективность: (1) 87%; (2) 94%.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Qureshi et al.39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Пакистан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(1) АКДС/ИПВ (комбинированная)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Дни 0, 60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АКДС, день 90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 + ОПВ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Дни 0, 60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ОПВ, День 30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АКДС, День 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2 -24 мес.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Рандомизированная.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сообщается.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различий между группами в сероконверсии для Д, С, полио или коклюшного агглютинина на 90-й день.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Rennels et al.40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Штаты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</w:rPr>
              <w:t>АбКДС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PRP-OMP 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АКДС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+ PRP-OMP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 АКДС, PRP-OMP (отде</w:t>
            </w:r>
            <w:r>
              <w:rPr>
                <w:rFonts w:ascii="Times New Roman" w:hAnsi="Times New Roman" w:cs="Times New Roman"/>
                <w:color w:val="000000"/>
              </w:rPr>
              <w:t>льно)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4, 6 мес.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указано.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Несколько повышенная нервозность и сниженный аппетит в Группе 1 по сравнению с Группой 2 в пределах 48 часов.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различий между группами в коклюшном ответе после 3-х доз.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Santosham et al.41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Соединённые Штаты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(1)АКДС + ОПВ + PRP-OMP 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(2)АКДС+ОПВ + плацебо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Две дозы каждой группе, с интервалом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 xml:space="preserve"> 28 дней в возрасте 40 - 90 и 70 - 176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2588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6 - 21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недель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Блок-рандомизированная. Двойная слепая.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Больше местных реакций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PRP-OMP, чем на плацебо. Нет различий в общих реакциях.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Клиническая эффективность 93%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95% СI (53, 98)</w:t>
            </w:r>
          </w:p>
          <w:p w:rsidR="00000000" w:rsidRDefault="007933D1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 91% из (1) было анти-PRP </w:t>
            </w:r>
            <w:r>
              <w:rPr>
                <w:rFonts w:ascii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</w:rPr>
              <w:t>0,15 мкг/мл через 2 месяца после 2-й дозы.</w:t>
            </w:r>
          </w:p>
        </w:tc>
      </w:tr>
    </w:tbl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Berger and Just48 сообщили об исследовании с привл</w:t>
      </w:r>
      <w:r>
        <w:rPr>
          <w:rFonts w:ascii="Times New Roman" w:hAnsi="Times New Roman" w:cs="Times New Roman"/>
          <w:color w:val="000000"/>
        </w:rPr>
        <w:t xml:space="preserve">ечением 242 швейцарских детей, которые были разделены на две равные группы. Одна группа получала КПК одновременно с АКДС и ТОПВ, а другая группа получала сначала КПК, а уже впоследствии - АКДС и ТОПВ. Реакции были слабо выражены и наблюдались с одинаковой </w:t>
      </w:r>
      <w:r>
        <w:rPr>
          <w:rFonts w:ascii="Times New Roman" w:hAnsi="Times New Roman" w:cs="Times New Roman"/>
          <w:color w:val="000000"/>
        </w:rPr>
        <w:t xml:space="preserve">частотой в обеих группах. Аналогичным образом отсутствовали различия между двумя группами в показателях сероконверсии по отношению к кори, паротиту и краснухе.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Krugman et al.52 обнаружили удовлетворительный серологический ответ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не выявили серьёзных побо</w:t>
      </w:r>
      <w:r>
        <w:rPr>
          <w:rFonts w:ascii="Times New Roman" w:hAnsi="Times New Roman" w:cs="Times New Roman"/>
          <w:color w:val="000000"/>
        </w:rPr>
        <w:t>чных эффектов при введении моновалентных коревой, паротитной и краснушной вакцин совместно с ТОПВ. Также два небольших исследования, проведённых в Индии Symoes54 и John51 с применением моновалентной коревой вакцины, смешанной в одном шприце либо с АКДС-вак</w:t>
      </w:r>
      <w:r>
        <w:rPr>
          <w:rFonts w:ascii="Times New Roman" w:hAnsi="Times New Roman" w:cs="Times New Roman"/>
          <w:color w:val="000000"/>
        </w:rPr>
        <w:t>циной, либо с АКДС в сочетании с инактивированной полиомиелитной вакциной (АКДСП-ИПВ), продемонстрировали удовлетворительную сероконверсию по коревым антителам, при этом не было отмечено различий в отношении побочных эффектов.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ЦББ по надзору за поб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очным действием иммунизации.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Поскольку известно, что вакцины КПК и АКДС вызывают местные реакции и повышение температуры, существует озабоченность по поводу того, что при сочетанном введении этих вакцин их совокупное воздействие может вызвать более тяжёлые</w:t>
      </w:r>
      <w:r>
        <w:rPr>
          <w:rFonts w:ascii="Times New Roman" w:hAnsi="Times New Roman" w:cs="Times New Roman"/>
          <w:color w:val="000000"/>
        </w:rPr>
        <w:t xml:space="preserve"> реакции. Результаты клинических исследований,49, 59-61 а также данные Системы мониторинга побочного действия иммунизации62 показывают, что большинство сообщений о лихорадке и судорогах после введения вакцины АКДС отдельно от КПК - это реакции, происходящи</w:t>
      </w:r>
      <w:r>
        <w:rPr>
          <w:rFonts w:ascii="Times New Roman" w:hAnsi="Times New Roman" w:cs="Times New Roman"/>
          <w:color w:val="000000"/>
        </w:rPr>
        <w:t>е в течение 3-х дней после вакцинации, тогда как лихорадка и судороги, связанные с вакциной КПК, вводимой отдельно от АКДС - это события, наступающие спустя 4 - 14 суток после прививки. Поэтому нам не следует ожидать совокупного (взаимодополняющего) эффект</w:t>
      </w:r>
      <w:r>
        <w:rPr>
          <w:rFonts w:ascii="Times New Roman" w:hAnsi="Times New Roman" w:cs="Times New Roman"/>
          <w:color w:val="000000"/>
        </w:rPr>
        <w:t>а после одновременного введения обеих вакцин.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Другие данные Системы мониторинга побочного действия иммунизации62, полученные до появления первых рекомендаций ККПИ по сочетанной иммунизации вакцинами АКДС, ТОПВ и КПК в возрасте 15 месяцев, также указывают н</w:t>
      </w:r>
      <w:r>
        <w:rPr>
          <w:rFonts w:ascii="Times New Roman" w:hAnsi="Times New Roman" w:cs="Times New Roman"/>
          <w:color w:val="000000"/>
        </w:rPr>
        <w:t>а то, что реакции не усиливаются при сочетанном введении вакцин АКДС, КПК и ТОПВ.63 В период с 1982 по 1985гг. в штате Айдахо, где в 2-х районах эти вакцины вводились по отдельности, а в 5 районах они вводились одновременно, мониторинг побочного действия п</w:t>
      </w:r>
      <w:r>
        <w:rPr>
          <w:rFonts w:ascii="Times New Roman" w:hAnsi="Times New Roman" w:cs="Times New Roman"/>
          <w:color w:val="000000"/>
        </w:rPr>
        <w:t>осле применения свыше 100 000 доз этих вакцин выявил у детей, получавших вакцины КПК и АКДС по отдельности, показатели неблагоприятных реакций, аналогичные наблюдавшимся у детей, которым эти вакцины вводились одновременно. Также сообщения о побочных действ</w:t>
      </w:r>
      <w:r>
        <w:rPr>
          <w:rFonts w:ascii="Times New Roman" w:hAnsi="Times New Roman" w:cs="Times New Roman"/>
          <w:color w:val="000000"/>
        </w:rPr>
        <w:t xml:space="preserve">иях в период с 1982 по 1985гг. из штата Луизиана, где вакцины АКДС и КПК вводились сочетанно уже с 1970-х годов и где речь шла о более 360 000 введённых доз вакцины, указывают на то, что показатели побочных реакций сходны с теми, которые регистрируются по </w:t>
      </w:r>
      <w:r>
        <w:rPr>
          <w:rFonts w:ascii="Times New Roman" w:hAnsi="Times New Roman" w:cs="Times New Roman"/>
          <w:color w:val="000000"/>
        </w:rPr>
        <w:t>всей стране, где по большей части дозы вакцин АКДС и КПК вводятся по отдельности. Опыт штата Теннесси, где в 1985г. было рекомендовано проводить сочетанную вакцинацию и где вводили ежегодно свыше 50 000 доз вакцин КПК и АКДС 15-месячным детям, показал, что</w:t>
      </w:r>
      <w:r>
        <w:rPr>
          <w:rFonts w:ascii="Times New Roman" w:hAnsi="Times New Roman" w:cs="Times New Roman"/>
          <w:color w:val="000000"/>
        </w:rPr>
        <w:t xml:space="preserve"> число общих реакций или судорог не возросло за период с 1982 по 1985гг., т.е. за срок, в течение которого, как считалось, происходил стабильный рост числа доз вводимых одновременно вакцин КПК и АКДС в результате интенсивного проведения такой схемы Департа</w:t>
      </w:r>
      <w:r>
        <w:rPr>
          <w:rFonts w:ascii="Times New Roman" w:hAnsi="Times New Roman" w:cs="Times New Roman"/>
          <w:color w:val="000000"/>
        </w:rPr>
        <w:t>ментом здравоохранения штата.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АКДС, полиомиелитные и конъюгатные вакцины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Дифтерийно - столбнячно - коклюшная, тривалентная оральная полиомиелитная и Hib вакцины - это группа наиболее часто применяемых вакцин. В настоящее время в США лицензированы четыре ко</w:t>
      </w:r>
      <w:r>
        <w:rPr>
          <w:rFonts w:ascii="Times New Roman" w:hAnsi="Times New Roman" w:cs="Times New Roman"/>
          <w:color w:val="000000"/>
        </w:rPr>
        <w:t>нъюгатные вакцины H. influenzae, три из которых предназначены для детей. Большинство исследований, посвящённых этому сочетанию, были выполнены в США или в Финляндии, и они сосредоточены преимущественно на безопасности и эффективности Hib вакцин в рамках до</w:t>
      </w:r>
      <w:r>
        <w:rPr>
          <w:rFonts w:ascii="Times New Roman" w:hAnsi="Times New Roman" w:cs="Times New Roman"/>
          <w:color w:val="000000"/>
        </w:rPr>
        <w:t>- или послелицензионных испытаний, при которых Hib-вакцину вводили в возрасте 2, 4 и 6 месяцев одновременно с вакцинами АКДС и ТОПВ. Несмотря на то, что некоторые из этих исследований не включали в себя отдельную сравнительную группу, их результаты полезны</w:t>
      </w:r>
      <w:r>
        <w:rPr>
          <w:rFonts w:ascii="Times New Roman" w:hAnsi="Times New Roman" w:cs="Times New Roman"/>
          <w:color w:val="000000"/>
        </w:rPr>
        <w:t xml:space="preserve"> в качестве показателя видов и тяжести побочных реакций, возникающих при совместном введении трёх вакцин. Этот большой массив данных серьёзно говорит в пользу сочетанного введения вакцин Hib, АКДС и ТОПВ как безопасной и эффективной процедуры.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H. influenza</w:t>
      </w:r>
      <w:r>
        <w:rPr>
          <w:rFonts w:ascii="Times New Roman" w:hAnsi="Times New Roman" w:cs="Times New Roman"/>
          <w:color w:val="000000"/>
        </w:rPr>
        <w:t>e типа b капсулярный олигосахарид конъюгированный с CRM197 мутантным дифтерийным токсином (HbOC). Black et al.15, 64 изучили несколько тысяч детей, которым была введена вакцина HbOC; большинство детей также получали одновременно вакцины АКДС и ТОПВ. Клинич</w:t>
      </w:r>
      <w:r>
        <w:rPr>
          <w:rFonts w:ascii="Times New Roman" w:hAnsi="Times New Roman" w:cs="Times New Roman"/>
          <w:color w:val="000000"/>
        </w:rPr>
        <w:t xml:space="preserve">еская эффективность для HbOC составила 100%; 97% проверенных вакцин вызывали выработку защитных титров анти-PRP антител. Они осуществляли последующее наблюдение за 6887 субъектами посредством телефонных опросов для сравнения частоты возникновения побочных </w:t>
      </w:r>
      <w:r>
        <w:rPr>
          <w:rFonts w:ascii="Times New Roman" w:hAnsi="Times New Roman" w:cs="Times New Roman"/>
          <w:color w:val="000000"/>
        </w:rPr>
        <w:t xml:space="preserve">реакций, которые происходили с детьми, получавшими вакцины HbOC и АКДС в разное время или одновременно. Соматические реакции у детей, получавших вакцины одновременно, регистрировались реже, чем у детей, получавших их в разное время, однако эти различия не </w:t>
      </w:r>
      <w:r>
        <w:rPr>
          <w:rFonts w:ascii="Times New Roman" w:hAnsi="Times New Roman" w:cs="Times New Roman"/>
          <w:color w:val="000000"/>
        </w:rPr>
        <w:t>были статистически значимыми. Они также показали, что частота случаев госпитализации изучаемых детей в течение 2-летнего периода последующего наблюдения была аналогична данным для контрольной группы. В дополнение к этому, частота случаев синдрома внезапной</w:t>
      </w:r>
      <w:r>
        <w:rPr>
          <w:rFonts w:ascii="Times New Roman" w:hAnsi="Times New Roman" w:cs="Times New Roman"/>
          <w:color w:val="000000"/>
        </w:rPr>
        <w:t xml:space="preserve"> смерти детей (СВСД) была меньше среди детей, входящих в изучаемый контингент, по сравнению со всеми детьми во всех трёх странах, из которых отбирали обследуемых.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Капсулярный полисахарид Haemophilus influenzae типа b, конъюгированный с комплексом белка нар</w:t>
      </w:r>
      <w:r>
        <w:rPr>
          <w:rFonts w:ascii="Times New Roman" w:hAnsi="Times New Roman" w:cs="Times New Roman"/>
          <w:color w:val="000000"/>
        </w:rPr>
        <w:t>ужной мембраны N.meningitidis (PRP-OMP). Проведённое Santosham et al.41 исследование вакцины PRP-OMP, вводимой по графику двумя дозами грудным детям из племени навахо, дало результаты, аналогичные полученным Black et al. Исследуемая группа, которая получал</w:t>
      </w:r>
      <w:r>
        <w:rPr>
          <w:rFonts w:ascii="Times New Roman" w:hAnsi="Times New Roman" w:cs="Times New Roman"/>
          <w:color w:val="000000"/>
        </w:rPr>
        <w:t xml:space="preserve">а PRP-OMP одновременно с АКДС и ТОПВ, сравнивалась с группой, которая получала плацебо вместе с АКДС и ТОПВ в одинаковых возрастах. Клиническая эффективность для детей, получавших две дозы вакцины PRP-OMP, составила 93%; у 91% грудных детей после двух доз </w:t>
      </w:r>
      <w:r>
        <w:rPr>
          <w:rFonts w:ascii="Times New Roman" w:hAnsi="Times New Roman" w:cs="Times New Roman"/>
          <w:color w:val="000000"/>
        </w:rPr>
        <w:t xml:space="preserve">вырабатывались антитела в количестве </w:t>
      </w:r>
      <w:r>
        <w:rPr>
          <w:rFonts w:ascii="Times New Roman" w:hAnsi="Times New Roman" w:cs="Times New Roman"/>
          <w:color w:val="000000"/>
        </w:rPr>
        <w:sym w:font="Courier New" w:char="003E"/>
      </w:r>
      <w:r>
        <w:rPr>
          <w:rFonts w:ascii="Times New Roman" w:hAnsi="Times New Roman" w:cs="Times New Roman"/>
          <w:color w:val="000000"/>
        </w:rPr>
        <w:t>0,15 мкг/мл. Местные реакции в месте введения PRP-OMP встречались чаще, чем в месте введения плацебо, однако наблюдение за побочными эффектами, включая 30-суточное последующее медицинс</w:t>
      </w:r>
      <w:r>
        <w:rPr>
          <w:rFonts w:ascii="Times New Roman" w:hAnsi="Times New Roman" w:cs="Times New Roman"/>
          <w:color w:val="000000"/>
        </w:rPr>
        <w:t>кое наблюдение с составлением диаграммы не показало никаких значительных различий между группами.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Капсулярный полисахарид Haemophilus influenzae типа b, конъюгированный со столбнячным анатоксином (PRP-T). </w:t>
      </w:r>
      <w:r>
        <w:rPr>
          <w:rFonts w:ascii="Times New Roman" w:hAnsi="Times New Roman" w:cs="Times New Roman"/>
          <w:color w:val="000000"/>
          <w:lang w:val="en-US"/>
        </w:rPr>
        <w:t>Vadheim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al</w:t>
      </w:r>
      <w:r>
        <w:rPr>
          <w:rFonts w:ascii="Times New Roman" w:hAnsi="Times New Roman" w:cs="Times New Roman"/>
          <w:color w:val="000000"/>
        </w:rPr>
        <w:t>.28 сравнивали свыше 5000 детей, получ</w:t>
      </w:r>
      <w:r>
        <w:rPr>
          <w:rFonts w:ascii="Times New Roman" w:hAnsi="Times New Roman" w:cs="Times New Roman"/>
          <w:color w:val="000000"/>
        </w:rPr>
        <w:t>авших вакцины PRP-T, АКДС и ТОПВ, с более чем 5000 детей, получавших вакцины против гепатита В, АКДС и ТОПВ в тех же возрастах. Использованные в ходе последующего наблюдения почтовые открытки, опросы на дому, анализы медицинских регистрационных записей, со</w:t>
      </w:r>
      <w:r>
        <w:rPr>
          <w:rFonts w:ascii="Times New Roman" w:hAnsi="Times New Roman" w:cs="Times New Roman"/>
          <w:color w:val="000000"/>
        </w:rPr>
        <w:t xml:space="preserve">общения родителей и врачей - всё это продемонстрировало отсутствие значительных различий между этитми двумя группами в отношении побочных эффектов. В возрасте 12 месяцев у всех, кто получал вакцину PRP-T, титры антител составляли </w:t>
      </w:r>
      <w:r>
        <w:rPr>
          <w:rFonts w:ascii="Times New Roman" w:hAnsi="Times New Roman" w:cs="Times New Roman"/>
          <w:color w:val="000000"/>
        </w:rPr>
        <w:sym w:font="Courier New" w:char="003D"/>
      </w:r>
      <w:r>
        <w:rPr>
          <w:rFonts w:ascii="Times New Roman" w:hAnsi="Times New Roman" w:cs="Times New Roman"/>
          <w:color w:val="000000"/>
        </w:rPr>
        <w:t>0,15 мкг/мл.27 В ходе крупных испытаний в Великобритании с участием почти 30 000 детей Booy et al.17 не обнаружили серьёзных неблагоприятных реакций при введении вакцины PRP-T одновременно с АКДС и ОПВ. Клиническая эффективность вакцины PRP-T в хо</w:t>
      </w:r>
      <w:r>
        <w:rPr>
          <w:rFonts w:ascii="Times New Roman" w:hAnsi="Times New Roman" w:cs="Times New Roman"/>
          <w:color w:val="000000"/>
        </w:rPr>
        <w:t>де этого испытания оказалась очень высокой; в контрольной группе было установлено 12 случаев заболевания Hib и ни одного случая среди привитых.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Haemophilus influenzae типа b, конъюгированный с дифтерийным анатоксином (PRP-D). В ходе одного крупного испытан</w:t>
      </w:r>
      <w:r>
        <w:rPr>
          <w:rFonts w:ascii="Times New Roman" w:hAnsi="Times New Roman" w:cs="Times New Roman"/>
          <w:color w:val="000000"/>
        </w:rPr>
        <w:t>ия вакцин, проведённого в Финляндии, Eskola et al.24 рандомизированно отобрали приблизительно 114 тысяч грудных детей для введения им одной или четырёх доз вакцины PRP-D. Все дети также получали сочетанно 1 или 2 дозы вакцин АКДС, ИПВ и КПК. Полностью отсу</w:t>
      </w:r>
      <w:r>
        <w:rPr>
          <w:rFonts w:ascii="Times New Roman" w:hAnsi="Times New Roman" w:cs="Times New Roman"/>
          <w:color w:val="000000"/>
        </w:rPr>
        <w:t>тствовали случаи анафилактического шока, смертей или стойких осложнений на протяжении 2-х лет последующего наблюдения. С одним ребёнком случился эпилептический припадок, а у другого ребёнка был эпизод гипотензии после введения PRP-D вместе с вакциной АКДС.</w:t>
      </w:r>
      <w:r>
        <w:rPr>
          <w:rFonts w:ascii="Times New Roman" w:hAnsi="Times New Roman" w:cs="Times New Roman"/>
          <w:color w:val="000000"/>
        </w:rPr>
        <w:t xml:space="preserve"> Не было никаких сообщений о прямых сравнениях между детьми, получавшими PRP-D вместе с АКДС и детьми, получавшими только АКДС. Клиническая эффективность у детей, получавших 3 дозы PRP-D, составляла 90%. В малочисленной подгруппе у 100% детей концентрация </w:t>
      </w:r>
      <w:r>
        <w:rPr>
          <w:rFonts w:ascii="Times New Roman" w:hAnsi="Times New Roman" w:cs="Times New Roman"/>
          <w:color w:val="000000"/>
        </w:rPr>
        <w:t xml:space="preserve">анти-PRP антител после четвёртой дозы была </w:t>
      </w:r>
      <w:r>
        <w:rPr>
          <w:rFonts w:ascii="Times New Roman" w:hAnsi="Times New Roman" w:cs="Times New Roman"/>
          <w:color w:val="000000"/>
        </w:rPr>
        <w:sym w:font="Courier New" w:char="003E"/>
      </w:r>
      <w:r>
        <w:rPr>
          <w:rFonts w:ascii="Times New Roman" w:hAnsi="Times New Roman" w:cs="Times New Roman"/>
          <w:color w:val="000000"/>
        </w:rPr>
        <w:t xml:space="preserve">1,0 мкг/мл.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более позднем финском исследовании, где сравнивалась клиническая эффективность вакцин PRP-D и HbOC, Peltola et al.65 наблюдали 117 000 грудных детей в двух группах</w:t>
      </w:r>
      <w:r>
        <w:rPr>
          <w:rFonts w:ascii="Times New Roman" w:hAnsi="Times New Roman" w:cs="Times New Roman"/>
          <w:color w:val="000000"/>
        </w:rPr>
        <w:t xml:space="preserve"> в возрасте от 4 до 24 месяцев. Все дети одновременно получали вакцины АКДС, ИПВ и КПК. Серьёзных реакций отмечено не было. Клиническая эффективность составила 87% для вакцины PRP-D и 94% для вакцины HbOC при сравнении с ретроспективными контрольными данны</w:t>
      </w:r>
      <w:r>
        <w:rPr>
          <w:rFonts w:ascii="Times New Roman" w:hAnsi="Times New Roman" w:cs="Times New Roman"/>
          <w:color w:val="000000"/>
        </w:rPr>
        <w:t xml:space="preserve">ми.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Прочие исследования. Завершено проведение многочисленных других американских19, 23, 30, 31, 33, 45, 46 и международных20, 25, 34, 43, 44, 47, 48, 66, 67 исследований по вакцинам Hib, вводимым одновременно АКДС и ОПВ. Ни одно из этих исследований не ук</w:t>
      </w:r>
      <w:r>
        <w:rPr>
          <w:rFonts w:ascii="Times New Roman" w:hAnsi="Times New Roman" w:cs="Times New Roman"/>
          <w:color w:val="000000"/>
        </w:rPr>
        <w:t>азывает на то, что сочетанное введение в разные места или в виде ассоциированных антигенов в одной вакцине (Hib - АКДС) вызывает более серьёзные побочные эффекты или ухудшает иммуногенность вакцины Hib. Результаты этих исследований обобщены в Таблице 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Им</w:t>
      </w:r>
      <w:r>
        <w:rPr>
          <w:rFonts w:ascii="Times New Roman" w:hAnsi="Times New Roman" w:cs="Times New Roman"/>
          <w:color w:val="000000"/>
        </w:rPr>
        <w:t>мунный ответ на дифтерийный, столбнячный и коклюшный антигены. Испытания с целью получения иммунного ответа на АКДС и полиомиелитную вакцины при их одновременном введении с вакцинами Hib были более ограниченными. Несколько исследований указывают на то, что</w:t>
      </w:r>
      <w:r>
        <w:rPr>
          <w:rFonts w:ascii="Times New Roman" w:hAnsi="Times New Roman" w:cs="Times New Roman"/>
          <w:color w:val="000000"/>
        </w:rPr>
        <w:t xml:space="preserve"> иммунный ответ на коклюшный антиген ослаблен при введении АКДС одновременно с конъюгатной Hib вакциной (PRP-T), однако этот эффект был обнаружен не во всех исследованиях. Все исследования показали отсутствие изменений в иммунном ответе на дифтерийный или </w:t>
      </w:r>
      <w:r>
        <w:rPr>
          <w:rFonts w:ascii="Times New Roman" w:hAnsi="Times New Roman" w:cs="Times New Roman"/>
          <w:color w:val="000000"/>
        </w:rPr>
        <w:t>столбнячный антигены при их введении грудным детям одновременно вакциной Hib.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Clemens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al</w:t>
      </w:r>
      <w:r>
        <w:rPr>
          <w:rFonts w:ascii="Times New Roman" w:hAnsi="Times New Roman" w:cs="Times New Roman"/>
          <w:color w:val="000000"/>
        </w:rPr>
        <w:t>.21 в Чили и Scheifele et al.43 в Канаде сообщили о сниженной выработке коклюшных агглютининов при введении АКДС вместе с PRP-T как в разные места, так и в смеси дру</w:t>
      </w:r>
      <w:r>
        <w:rPr>
          <w:rFonts w:ascii="Times New Roman" w:hAnsi="Times New Roman" w:cs="Times New Roman"/>
          <w:color w:val="000000"/>
        </w:rPr>
        <w:t xml:space="preserve">г с другом. Clemens et al. отметили, что у 99% детей, получавших вакцину АКДС отдельно, вырабатывались коклюшные агглютинины </w:t>
      </w:r>
      <w:r>
        <w:rPr>
          <w:rFonts w:ascii="Times New Roman" w:hAnsi="Times New Roman" w:cs="Times New Roman"/>
          <w:color w:val="000000"/>
        </w:rPr>
        <w:sym w:font="Courier New" w:char="003D"/>
      </w:r>
      <w:r>
        <w:rPr>
          <w:rFonts w:ascii="Times New Roman" w:hAnsi="Times New Roman" w:cs="Times New Roman"/>
          <w:color w:val="000000"/>
        </w:rPr>
        <w:t>320 МЕ/мл в сравнении с 92% грудных детей, которым вакцины вводятся в разные места, и 79% получа</w:t>
      </w:r>
      <w:r>
        <w:rPr>
          <w:rFonts w:ascii="Times New Roman" w:hAnsi="Times New Roman" w:cs="Times New Roman"/>
          <w:color w:val="000000"/>
        </w:rPr>
        <w:t>ющих смешанные вакцины в одной инъекции (вакцины АКДС и PRP-T [Merieux]). Clemens et al. также выявили подавленный иммунный ответ к коклюшному токсину и антифиламентного гемагглютинина во всех группах, получавших вакцины АКДС и PRP-T. Среди 442 грудных дет</w:t>
      </w:r>
      <w:r>
        <w:rPr>
          <w:rFonts w:ascii="Times New Roman" w:hAnsi="Times New Roman" w:cs="Times New Roman"/>
          <w:color w:val="000000"/>
        </w:rPr>
        <w:t>ей, получавших вакцины PRP-T (Merieux) и АКДС (Connaught-Канада), Scheifele et al. сообщили, что среднегеометрический титр коклюшных агглютининов составляет 291,3 при смешивании вакцин PRP-T и АКДС в одном шприце и на 11 - 32% выше в тех случаях, когда эти</w:t>
      </w:r>
      <w:r>
        <w:rPr>
          <w:rFonts w:ascii="Times New Roman" w:hAnsi="Times New Roman" w:cs="Times New Roman"/>
          <w:color w:val="000000"/>
        </w:rPr>
        <w:t xml:space="preserve"> вакцины вводились одновременно в разные места (Р </w:t>
      </w:r>
      <w:r>
        <w:rPr>
          <w:rFonts w:ascii="Times New Roman" w:hAnsi="Times New Roman" w:cs="Times New Roman"/>
          <w:color w:val="000000"/>
        </w:rPr>
        <w:sym w:font="Courier New" w:char="003C"/>
      </w:r>
      <w:r>
        <w:rPr>
          <w:rFonts w:ascii="Times New Roman" w:hAnsi="Times New Roman" w:cs="Times New Roman"/>
          <w:color w:val="000000"/>
        </w:rPr>
        <w:t xml:space="preserve">0,02). Ferreccio et al.12 в более раннем исследованиии, наряду с Scheifele et al., отметили анти - PRP-T антитела </w:t>
      </w:r>
      <w:r>
        <w:rPr>
          <w:rFonts w:ascii="Times New Roman" w:hAnsi="Times New Roman" w:cs="Times New Roman"/>
          <w:color w:val="000000"/>
        </w:rPr>
        <w:sym w:font="Courier New" w:char="003D"/>
      </w:r>
      <w:r>
        <w:rPr>
          <w:rFonts w:ascii="Times New Roman" w:hAnsi="Times New Roman" w:cs="Times New Roman"/>
          <w:color w:val="000000"/>
        </w:rPr>
        <w:t xml:space="preserve"> 0,15 мкг/мл у 100 и 9</w:t>
      </w:r>
      <w:r>
        <w:rPr>
          <w:rFonts w:ascii="Times New Roman" w:hAnsi="Times New Roman" w:cs="Times New Roman"/>
          <w:color w:val="000000"/>
        </w:rPr>
        <w:t xml:space="preserve">8% всех субъектов исследования, независимо от того, как вводилась вакцина АКДС, хотя Ferreccio et al. обнаружили более низкий процент (89%) при уровнях </w:t>
      </w:r>
      <w:r>
        <w:rPr>
          <w:rFonts w:ascii="Times New Roman" w:hAnsi="Times New Roman" w:cs="Times New Roman"/>
          <w:color w:val="000000"/>
        </w:rPr>
        <w:sym w:font="Courier New" w:char="003D"/>
      </w:r>
      <w:r>
        <w:rPr>
          <w:rFonts w:ascii="Times New Roman" w:hAnsi="Times New Roman" w:cs="Times New Roman"/>
          <w:color w:val="000000"/>
        </w:rPr>
        <w:t xml:space="preserve"> 1,0 мкг/мл в группе комбинированных вакцин по сравнению с 98% в груп</w:t>
      </w:r>
      <w:r>
        <w:rPr>
          <w:rFonts w:ascii="Times New Roman" w:hAnsi="Times New Roman" w:cs="Times New Roman"/>
          <w:color w:val="000000"/>
        </w:rPr>
        <w:t>пе, которая получала вакцины по отдельности. Только Scheifele et al. при сочетанном введении вакцин обнаружили какие-то усиленные побочные эффекты, ограничивающиеся повышенной болезненностью в месте инъекции вакцины АКДС, смешанной с PRP-T.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отличие от эт</w:t>
      </w:r>
      <w:r>
        <w:rPr>
          <w:rFonts w:ascii="Times New Roman" w:hAnsi="Times New Roman" w:cs="Times New Roman"/>
          <w:color w:val="000000"/>
        </w:rPr>
        <w:t xml:space="preserve">ого Kaplan et al.31 (вакцина АКДС производства Connaught-США), Watemberg et al.47 ( Pasteur-Merieux) и Avendano et al.11 (вакцина АКДС производства Connaught-США) отмечали в основном отсутствие различий в коклюшном иммунном ответе при введении вакцин АКДС </w:t>
      </w:r>
      <w:r>
        <w:rPr>
          <w:rFonts w:ascii="Times New Roman" w:hAnsi="Times New Roman" w:cs="Times New Roman"/>
          <w:color w:val="000000"/>
        </w:rPr>
        <w:t>и PRP-T вместе в одном шприце детям в возрасте 2, 4 и 6 месяцев по сравнению с детьми, которым в различные места вводили вакцины АКДС и PRP-T или же вакцину АКДС, смешанную с плацебо. Watemberg et al. отметили тенденцию к некоторому снижению среднегеометри</w:t>
      </w:r>
      <w:r>
        <w:rPr>
          <w:rFonts w:ascii="Times New Roman" w:hAnsi="Times New Roman" w:cs="Times New Roman"/>
          <w:color w:val="000000"/>
        </w:rPr>
        <w:t>ческих титров (СГТ) коклюшного агглютинина после 3-х доз АКДС в смеси с PRP-T (n = 25, СГТ = 117) по сравнению с введением АКДС в смеси с плацебо (n = 15, СГТ = 211). Watemberg et al. также отметили как отсутствие различий в антительном ответе на дифтерийн</w:t>
      </w:r>
      <w:r>
        <w:rPr>
          <w:rFonts w:ascii="Times New Roman" w:hAnsi="Times New Roman" w:cs="Times New Roman"/>
          <w:color w:val="000000"/>
        </w:rPr>
        <w:t>ый или столбнячный анатоксины, так и отсутствие значительных различий в побочных эффектах между этими двумя группами.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ходе нерандомизированного исследования Rennels et al.68 сообщили о том, что иммунный ответ на коклюшный токсин, филаментарный гемагглюти</w:t>
      </w:r>
      <w:r>
        <w:rPr>
          <w:rFonts w:ascii="Times New Roman" w:hAnsi="Times New Roman" w:cs="Times New Roman"/>
          <w:color w:val="000000"/>
        </w:rPr>
        <w:t xml:space="preserve">нин, белок 69-kDa наружной мембраны и фимбриальные белки не отличались у грудных детей, получавших цельноклеточную или бесклеточную коклюшную вакцину одновременно с вакцинами Hib (HbOC, PRP-OMP), по сравнению с детьми, которые получали эти коклюшные и Hib </w:t>
      </w:r>
      <w:r>
        <w:rPr>
          <w:rFonts w:ascii="Times New Roman" w:hAnsi="Times New Roman" w:cs="Times New Roman"/>
          <w:color w:val="000000"/>
        </w:rPr>
        <w:t>конъюгатные вакцины по отдельности.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Paradiso35 представил серологические данные по 65 детям грудного возраста, получавшим вакцину АКДС отдельно или сочетанно с HbOC. Он показал при этом, что значения СГТ для дифтерийных, столбнячных и коклюшных антител был</w:t>
      </w:r>
      <w:r>
        <w:rPr>
          <w:rFonts w:ascii="Times New Roman" w:hAnsi="Times New Roman" w:cs="Times New Roman"/>
          <w:color w:val="000000"/>
        </w:rPr>
        <w:t>и несколько выше тогда, когда вакцину АКДС вводили одновременно с вакциной HbOC в разные места. Paradiso36 также сообщил, что комбинированная вакцина, содержащая АКДС и HbOC, которая в настоящее время лицензирована в Соединённых Штатах, дала такой же хорош</w:t>
      </w:r>
      <w:r>
        <w:rPr>
          <w:rFonts w:ascii="Times New Roman" w:hAnsi="Times New Roman" w:cs="Times New Roman"/>
          <w:color w:val="000000"/>
        </w:rPr>
        <w:t>ий или лучший иммунный ответ на все четыре антигена по сравнению с отдельным введением вакцин АКДС и HbOC. King32 получил аналогичные результаты в ходе отдельного небольшого исследования комбинированной АКДС-HbOC вакцины.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Booy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al</w:t>
      </w:r>
      <w:r>
        <w:rPr>
          <w:rFonts w:ascii="Times New Roman" w:hAnsi="Times New Roman" w:cs="Times New Roman"/>
          <w:color w:val="000000"/>
        </w:rPr>
        <w:t>. наблюдали пониженный о</w:t>
      </w:r>
      <w:r>
        <w:rPr>
          <w:rFonts w:ascii="Times New Roman" w:hAnsi="Times New Roman" w:cs="Times New Roman"/>
          <w:color w:val="000000"/>
        </w:rPr>
        <w:t>твет коклюшного агглютинина при введении АКДС сочетанно с PRP-T в возрасте 2, 3 и 4 месяцев по сравнению с введением АКДС совместно с HbOC в возрасте 3, 5 и 9 месяцев.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Эти данные указывают, что различные конъюгированные вакцины Haemophilus influenzae типа </w:t>
      </w:r>
      <w:r>
        <w:rPr>
          <w:rFonts w:ascii="Times New Roman" w:hAnsi="Times New Roman" w:cs="Times New Roman"/>
          <w:color w:val="000000"/>
        </w:rPr>
        <w:t>b могут различным образом взаимодействовать с вакцинами АКДС и действовать по-разному в одинаковых условиях. В настоящее время данное различие выявлено лишь для одной вакцины Hib (PRP-T); оно касается только ответа на коклюшные антигены и, как представляет</w:t>
      </w:r>
      <w:r>
        <w:rPr>
          <w:rFonts w:ascii="Times New Roman" w:hAnsi="Times New Roman" w:cs="Times New Roman"/>
          <w:color w:val="000000"/>
        </w:rPr>
        <w:t>ся, имеет ограниченное клиническое значение.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Вакцина против гепатита в и другие вакцины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ГРУДНЫЕ ДЕТИ. Информация о сочетанном введении вакцины против гепатита В, самой новой вакцины, рекомендуемой для поголовных прививок, более ограниченна, однако она демо</w:t>
      </w:r>
      <w:r>
        <w:rPr>
          <w:rFonts w:ascii="Times New Roman" w:hAnsi="Times New Roman" w:cs="Times New Roman"/>
          <w:color w:val="000000"/>
        </w:rPr>
        <w:t>нстрирует безопасность и эффективность при введении её с какой-либо другой вакциной, положенной по календарю детских прививок. В исследовании с участием 380 грудных детей на Тайване было показано, что сочетанная вакцинация вакциной против гепатита В, получ</w:t>
      </w:r>
      <w:r>
        <w:rPr>
          <w:rFonts w:ascii="Times New Roman" w:hAnsi="Times New Roman" w:cs="Times New Roman"/>
          <w:color w:val="000000"/>
        </w:rPr>
        <w:t>енной из плазмы крови, вместе с вакцинами АКДС и ТОПВ на первом году жизни обеспечивает иммунный ответ и безопасность, сравнимые с результатами раздельной иммунизации этими же антигенами (D.West, личное сообщение, 1993г.); аналогичные данные также сообщали</w:t>
      </w:r>
      <w:r>
        <w:rPr>
          <w:rFonts w:ascii="Times New Roman" w:hAnsi="Times New Roman" w:cs="Times New Roman"/>
          <w:color w:val="000000"/>
        </w:rPr>
        <w:t>сь из Сенегала22 и Италии.14 Разработка ассоциированной АКДС-гепатит В вирусной вакцины также продвигается вперёд, указывая на отсутствие изначальной несовместимости этих антигенов.37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Более обширный опыт по линии сочетанной вакцинации был наработан в Южной</w:t>
      </w:r>
      <w:r>
        <w:rPr>
          <w:rFonts w:ascii="Times New Roman" w:hAnsi="Times New Roman" w:cs="Times New Roman"/>
          <w:color w:val="000000"/>
        </w:rPr>
        <w:t xml:space="preserve"> Калифорнии, где 5000 детей получали рекомбинантную вакцину против гепатита В вместе с вакцинами АКДС и ТОПВ в ходе контролируемого испытания Hib вакцины (PRP-T).29 Предварительные данные позволяют предположить адекватный ответ на гепатит В и меньшее число</w:t>
      </w:r>
      <w:r>
        <w:rPr>
          <w:rFonts w:ascii="Times New Roman" w:hAnsi="Times New Roman" w:cs="Times New Roman"/>
          <w:color w:val="000000"/>
        </w:rPr>
        <w:t xml:space="preserve"> неблагоприятных событий, которые наблюдаются при введении комбинации Hib/АКДС/ТОПВ вакцин (D.Greenberg, личное сообщение, 1993г.). Исследование в развитие данной работы рассматривает иммуногенностьи безопасность комбинации вакцины против гепатита В, Hib в</w:t>
      </w:r>
      <w:r>
        <w:rPr>
          <w:rFonts w:ascii="Times New Roman" w:hAnsi="Times New Roman" w:cs="Times New Roman"/>
          <w:color w:val="000000"/>
        </w:rPr>
        <w:t>акцин, АКДС и ТОПВ, вводимых 300 грудным детям.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Дети. Безопасность и эффективность вакцины против гепатита В при её сочетанном введении с КПК или одновалентной коревой вакциной также изучались в Тайване50 и Сенегале.22 Иммуногенность для всех антигенов, а </w:t>
      </w:r>
      <w:r>
        <w:rPr>
          <w:rFonts w:ascii="Times New Roman" w:hAnsi="Times New Roman" w:cs="Times New Roman"/>
          <w:color w:val="000000"/>
        </w:rPr>
        <w:t>также неблагоприятные последствия были аналогичны при одновременном или раздельном введении вакцин.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КПК и HIB вакцины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Одновременное введение вакцин рекомендовано ККПИ и ААП при достижении детьми возраста 15 месяцев. Steinhoff et al. изучали 75 детей, приви</w:t>
      </w:r>
      <w:r>
        <w:rPr>
          <w:rFonts w:ascii="Times New Roman" w:hAnsi="Times New Roman" w:cs="Times New Roman"/>
          <w:color w:val="000000"/>
        </w:rPr>
        <w:t>тых вакцинами КПК и HibОС одновременно или с интервалом 1 месяц. Между группами не было отмечено каких-либо различий в отношении местных или соматических побочных эффектов, либо в концентрациях анти-PRP антител в сыворотке крови. Dashefsky аналогичным обра</w:t>
      </w:r>
      <w:r>
        <w:rPr>
          <w:rFonts w:ascii="Times New Roman" w:hAnsi="Times New Roman" w:cs="Times New Roman"/>
          <w:color w:val="000000"/>
        </w:rPr>
        <w:t xml:space="preserve">зом изучил 75 детей в возрасте 15 месяцев, которые получали вакцины КПК и PRP-OMP совместно или с интервалом в 1 месяц. У всех испытуемых вырабатывался титр анти-PRP антител </w:t>
      </w:r>
      <w:r>
        <w:rPr>
          <w:rFonts w:ascii="Times New Roman" w:hAnsi="Times New Roman" w:cs="Times New Roman"/>
          <w:color w:val="000000"/>
        </w:rPr>
        <w:sym w:font="Courier New" w:char="003D"/>
      </w:r>
      <w:r>
        <w:rPr>
          <w:rFonts w:ascii="Times New Roman" w:hAnsi="Times New Roman" w:cs="Times New Roman"/>
          <w:color w:val="000000"/>
        </w:rPr>
        <w:t xml:space="preserve"> 0,15 мкг/мл и не было отмечено различий в побо</w:t>
      </w:r>
      <w:r>
        <w:rPr>
          <w:rFonts w:ascii="Times New Roman" w:hAnsi="Times New Roman" w:cs="Times New Roman"/>
          <w:color w:val="000000"/>
        </w:rPr>
        <w:t>чных эффектах.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Предварительный анализ, основанный на проведённом ЦББ исследовании причин первоначальной неэффективности КПК вакцины с привлечением свыше 2000 детей в возрасте от 15 до 18 месяцев, аналогичным образом указывает на отсутствие различий в небла</w:t>
      </w:r>
      <w:r>
        <w:rPr>
          <w:rFonts w:ascii="Times New Roman" w:hAnsi="Times New Roman" w:cs="Times New Roman"/>
          <w:color w:val="000000"/>
        </w:rPr>
        <w:t>гоприятных реакциях между детьми, которые получали КПК одновременно с HbOC и теми детьми, которые получали эти вакцины по отдельности (W.Atkinson, личное сообщение, 1994г.).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АКДС, полиомиелитная, КПК и HIB вакцины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Несмотря на то, что имеющиеся факты не сви</w:t>
      </w:r>
      <w:r>
        <w:rPr>
          <w:rFonts w:ascii="Times New Roman" w:hAnsi="Times New Roman" w:cs="Times New Roman"/>
          <w:color w:val="000000"/>
        </w:rPr>
        <w:t>детельствуют о пониженной эффективности или безопасности при сочетанном введении КПК или Hib вакцин одновременно с АКДС и полиомиелитной вакцинами, существует ограниченная информация касательно сочетанного применения всех четырёх вакцин, которые были реком</w:t>
      </w:r>
      <w:r>
        <w:rPr>
          <w:rFonts w:ascii="Times New Roman" w:hAnsi="Times New Roman" w:cs="Times New Roman"/>
          <w:color w:val="000000"/>
        </w:rPr>
        <w:t>ендованы ККПИ для введения в возрасте 15 месяцев. Теоретически не следует ожидать интерференции или взаимоусиливающих побочных эффектов, поскольку АКДС и Hib вакцины обычно связывают с событиями, происходящими непосредственно в послепрививочный период, тог</w:t>
      </w:r>
      <w:r>
        <w:rPr>
          <w:rFonts w:ascii="Times New Roman" w:hAnsi="Times New Roman" w:cs="Times New Roman"/>
          <w:color w:val="000000"/>
        </w:rPr>
        <w:t>да как КПК связана с событиями, происходящими спустя 4 или более дней после прививки. Национальная программа иммунизации ЦББ в настоящее время проводит нерандомизированное исследование, призванное дать дополнительную информацию о безопасности и иммунном от</w:t>
      </w:r>
      <w:r>
        <w:rPr>
          <w:rFonts w:ascii="Times New Roman" w:hAnsi="Times New Roman" w:cs="Times New Roman"/>
          <w:color w:val="000000"/>
        </w:rPr>
        <w:t>вете при введении данной комбинации вакцин. Помимо этого, безопасность одновременного введения этих антигенов будет и далее изучаться с помощью данных Системы учёта побочного действия иммунизации.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Обсуждение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Все имеющиеся фактические данные из широкого кру</w:t>
      </w:r>
      <w:r>
        <w:rPr>
          <w:rFonts w:ascii="Times New Roman" w:hAnsi="Times New Roman" w:cs="Times New Roman"/>
          <w:color w:val="000000"/>
        </w:rPr>
        <w:t>га источников, упоминаемых в настоящей статье, находятся в соответствии с рекомендациями ККПИ и ААП о том, что одновременное введение современных американских лицензированных вакцин безопасно и эффективно. Однако настоящий обзор касается лишь современной о</w:t>
      </w:r>
      <w:r>
        <w:rPr>
          <w:rFonts w:ascii="Times New Roman" w:hAnsi="Times New Roman" w:cs="Times New Roman"/>
          <w:color w:val="000000"/>
        </w:rPr>
        <w:t>публикованной литературы и не включает в себя неопубликованных данных, которые могли быть собраны фирмами-производителями вакцин в ходе исследований, предшествующих лицензированию. Кроме того, упоминаемые здесь исследования - это прежде всего контролируемы</w:t>
      </w:r>
      <w:r>
        <w:rPr>
          <w:rFonts w:ascii="Times New Roman" w:hAnsi="Times New Roman" w:cs="Times New Roman"/>
          <w:color w:val="000000"/>
        </w:rPr>
        <w:t>е клинические испытания различных масштабов: некоторые из них обладают достаточной мощностью для выявления важных различий в безопасности (например, Hib вакцин вместе с АКДС вакциной), другие же имеют меньший потенциал. Многие исследования, в частности те,</w:t>
      </w:r>
      <w:r>
        <w:rPr>
          <w:rFonts w:ascii="Times New Roman" w:hAnsi="Times New Roman" w:cs="Times New Roman"/>
          <w:color w:val="000000"/>
        </w:rPr>
        <w:t xml:space="preserve"> которые касаются Hib вакцин, были спланированы как предлицензионные исследования, предназначенные для изучения иммуногенности и безопасности единичной вакцины, вводимой одновременно с другими вакцинами. По этой причине данные об иммуногенности зачастую но</w:t>
      </w:r>
      <w:r>
        <w:rPr>
          <w:rFonts w:ascii="Times New Roman" w:hAnsi="Times New Roman" w:cs="Times New Roman"/>
          <w:color w:val="000000"/>
        </w:rPr>
        <w:t>сят ограниченный характер и могут быть получены только для одного антигена. Аналогичным образом эти исследования были спланированы для наблюдения скорее за обычными неблагоприятными событиями, нежели за теми явлениями, которые могут происходить в течение о</w:t>
      </w:r>
      <w:r>
        <w:rPr>
          <w:rFonts w:ascii="Times New Roman" w:hAnsi="Times New Roman" w:cs="Times New Roman"/>
          <w:color w:val="000000"/>
        </w:rPr>
        <w:t>тносительно короткого времени после прививки. Риск побочных реакций, которые редки или могут происходить после прививки, необходимо оценивать с помощью других методов, обычно после лицензирования вакцины.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Рассмотренные здесь исследования содержат мало факт</w:t>
      </w:r>
      <w:r>
        <w:rPr>
          <w:rFonts w:ascii="Times New Roman" w:hAnsi="Times New Roman" w:cs="Times New Roman"/>
          <w:color w:val="000000"/>
        </w:rPr>
        <w:t>ов, свидетельствующих о снижении иммунного ответа при сочетанном введении большинства вакцин. Мы выявили сниженную иммуногенность только для коклюшных антигенов, и то лишь при его применении в качестве АКДС вместе с ИПВ или PRP-T. Поскольку титры индуциров</w:t>
      </w:r>
      <w:r>
        <w:rPr>
          <w:rFonts w:ascii="Times New Roman" w:hAnsi="Times New Roman" w:cs="Times New Roman"/>
          <w:color w:val="000000"/>
        </w:rPr>
        <w:t>анных коклюшных антител оставались выше тех уровней, которые обычно считаются защитными, хотя для защитных титров и не выработано хорошего определения, клиническая значимость данного сниженного ответа неизвестна. Несмотря на то, что влияние Hib вакцин на к</w:t>
      </w:r>
      <w:r>
        <w:rPr>
          <w:rFonts w:ascii="Times New Roman" w:hAnsi="Times New Roman" w:cs="Times New Roman"/>
          <w:color w:val="000000"/>
        </w:rPr>
        <w:t>оклюшную иммуногенность было отмечено только для PRP-T, данные по Hib вакцинам, за исключением HbOC, гораздо более ограниченны.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Учитывая необходимость обеспечить защищённость детей от управляемых заболеваний, сочетанное введение вакцин будет оставаться нео</w:t>
      </w:r>
      <w:r>
        <w:rPr>
          <w:rFonts w:ascii="Times New Roman" w:hAnsi="Times New Roman" w:cs="Times New Roman"/>
          <w:color w:val="000000"/>
        </w:rPr>
        <w:t>бходимой политикой. Однако, как это происходит с любой политикой в отношении вакцин, существует потребность в непрерывной периодической количественной оценке безопасности и эффективности. Расширенные исследования по новым вакцинам и новым комбинациям вакци</w:t>
      </w:r>
      <w:r>
        <w:rPr>
          <w:rFonts w:ascii="Times New Roman" w:hAnsi="Times New Roman" w:cs="Times New Roman"/>
          <w:color w:val="000000"/>
        </w:rPr>
        <w:t>н потребуются для расмотрения каждой основной комбинации на предмет её безопасности и иммуногенности перед лицензированием. Также существует необходимость в постоянном мониторинге неблагоприятных событий и эффективности в отношении как отдельных антигенов,</w:t>
      </w:r>
      <w:r>
        <w:rPr>
          <w:rFonts w:ascii="Times New Roman" w:hAnsi="Times New Roman" w:cs="Times New Roman"/>
          <w:color w:val="000000"/>
        </w:rPr>
        <w:t xml:space="preserve"> так и вакцин, вводимых одновременно. Такой мониторинг обязательно должен быть чувствительным к относительно редким событиям, и он потребует координированного использования испытаний Этапа IV, мониторинга побочных реакций, связанных с вакциной, а также исп</w:t>
      </w:r>
      <w:r>
        <w:rPr>
          <w:rFonts w:ascii="Times New Roman" w:hAnsi="Times New Roman" w:cs="Times New Roman"/>
          <w:color w:val="000000"/>
        </w:rPr>
        <w:t>ользования крупных взаимосвязанных баз данных для оценки возможных причинных связей.</w:t>
      </w:r>
    </w:p>
    <w:p w:rsidR="00000000" w:rsidRDefault="007933D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Centers for Disease Control and Prevention. </w:t>
      </w:r>
      <w:r>
        <w:rPr>
          <w:rFonts w:ascii="Times New Roman" w:hAnsi="Times New Roman" w:cs="Times New Roman"/>
          <w:color w:val="000000"/>
          <w:lang w:val="en-US"/>
        </w:rPr>
        <w:t>Reported vaccine-preventable diseases: United States, 1993, and the Childhood Immunization Initiative. MMWR 1994;43:57 -- 60.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2. Centers for Disease Control and Prevention. General recommendations on immunization: recommendations of the Advisory Committee </w:t>
      </w:r>
      <w:r>
        <w:rPr>
          <w:rFonts w:ascii="Times New Roman" w:hAnsi="Times New Roman" w:cs="Times New Roman"/>
          <w:color w:val="000000"/>
          <w:lang w:val="en-US"/>
        </w:rPr>
        <w:t>on Immunization Practices (ACIP). MMWR 1994;43: ( RR-1):9.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3. American Academy of Pediatrics. Active and passive immunization. In: Peter G, ed. Report of the Committee on Infectious Diseases. Elk Grove Village, IL: American Academy of Pediatrics, 1991:17.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 Centers for Disease Control and Prevention. Retrospective assessment of vaccination coverage among school-aged children: selected U. S. cities, 1991. MMWR 1992;41:103-7.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5. Centers for Disease Control and Prevention. Early childhood vaccination in two </w:t>
      </w:r>
      <w:r>
        <w:rPr>
          <w:rFonts w:ascii="Times New Roman" w:hAnsi="Times New Roman" w:cs="Times New Roman"/>
          <w:color w:val="000000"/>
          <w:lang w:val="en-US"/>
        </w:rPr>
        <w:t>rural counties: Nebraska, 1991-1992. MMWR 1992:41:6S8-91.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6. Gindler JS, Atkinson WL, Markowitz LE. Update: the United States measles epidemic, 1989 -- 1990. Epidemiol Rev 1992; 14:270-6.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7. Hutchins SS, Escolan J, Markowitz LE, et al, Measles outbreak amo</w:t>
      </w:r>
      <w:r>
        <w:rPr>
          <w:rFonts w:ascii="Times New Roman" w:hAnsi="Times New Roman" w:cs="Times New Roman"/>
          <w:color w:val="000000"/>
          <w:lang w:val="en-US"/>
        </w:rPr>
        <w:t>ng unvaccinated preschool-age children: opportunities missed by health care providers to administer measles vaccine. Pediatrics 1989;83:369-74.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8. Hutchins SS, Gindler JS, Atkinson WL, et al. Preschool children at high risk for measles: opportunities to va</w:t>
      </w:r>
      <w:r>
        <w:rPr>
          <w:rFonts w:ascii="Times New Roman" w:hAnsi="Times New Roman" w:cs="Times New Roman"/>
          <w:color w:val="000000"/>
          <w:lang w:val="en-US"/>
        </w:rPr>
        <w:t>ccinate. Am J Public Health 1993;S3:862-7.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9. The National Vaccine Advisory Committee. The measles epidemic: the problems, barriers, and recommendations. JAMA 1991;266:1547-52.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10. Cutts FT, Zell ER, Mason D, Bernier R, Dini E, Orenstein WA. Monitoring pro</w:t>
      </w:r>
      <w:r>
        <w:rPr>
          <w:rFonts w:ascii="Times New Roman" w:hAnsi="Times New Roman" w:cs="Times New Roman"/>
          <w:color w:val="000000"/>
          <w:lang w:val="en-US"/>
        </w:rPr>
        <w:t>gress towards US preschool immunization goals. JAMA 1992;267:1952-5.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11. Avendano A, Ferreccio C, Lagos R, et al. Haemophilus influenzae type b polysaccharide-tetanus protein conjugate vaccine does not depress serologic responses to diphtheria, tetanus or </w:t>
      </w:r>
      <w:r>
        <w:rPr>
          <w:rFonts w:ascii="Times New Roman" w:hAnsi="Times New Roman" w:cs="Times New Roman"/>
          <w:color w:val="000000"/>
          <w:lang w:val="en-US"/>
        </w:rPr>
        <w:t xml:space="preserve">pertussis antigens when coadministered in the same syringe with diphtheria-tetanus-pertussis vaccine in young Gambian infants. Pediatr Infect Dis J 1993;12:638 -- 43.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12. Ferreccio C, Clemens J, Avendano A, et al. The clinical and immunological response t</w:t>
      </w:r>
      <w:r>
        <w:rPr>
          <w:rFonts w:ascii="Times New Roman" w:hAnsi="Times New Roman" w:cs="Times New Roman"/>
          <w:color w:val="000000"/>
          <w:lang w:val="en-US"/>
        </w:rPr>
        <w:t>o Haemophilus influenzae type b polysaccharide-tetanus protein conjugate vaccine coadministered in the same syringe with DTP at 2, 4, and 6 months of age. Pediatr Infect Dis J 1991;10:764-7I.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13. Baker JD, Halperin SA, Edwards K, Miller B, Decker MD, Steph</w:t>
      </w:r>
      <w:r>
        <w:rPr>
          <w:rFonts w:ascii="Times New Roman" w:hAnsi="Times New Roman" w:cs="Times New Roman"/>
          <w:color w:val="000000"/>
          <w:lang w:val="en-US"/>
        </w:rPr>
        <w:t>ens D. Antibody response to Bordetella pertussis antigens after immunization with American and Canadian whole-cell vaccines. J Pediatr 1992;121:523-7.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14. Barone P, Mauro L, Leonardi S, et al. Simultaneous administration of HB recombinant vaccine with diph</w:t>
      </w:r>
      <w:r>
        <w:rPr>
          <w:rFonts w:ascii="Times New Roman" w:hAnsi="Times New Roman" w:cs="Times New Roman"/>
          <w:color w:val="000000"/>
          <w:lang w:val="en-US"/>
        </w:rPr>
        <w:t>theria and tetanus toxoid and oral polio vaccine: a pilot study. Acta Paediatr Jpn 1991;33:455-8.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15. Black SB, Shinefield HR, Lampert D, et al. Safety and immunogenicity of oligosaccharide conjugate Haemophilus influenzae type b (HbOC) vaccine in infancy.</w:t>
      </w:r>
      <w:r>
        <w:rPr>
          <w:rFonts w:ascii="Times New Roman" w:hAnsi="Times New Roman" w:cs="Times New Roman"/>
          <w:color w:val="000000"/>
          <w:lang w:val="en-US"/>
        </w:rPr>
        <w:t xml:space="preserve"> Pediatr Infect Dis J 1991;10:92-6.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16. Black S, Shinefield H, Hiatt R, Fireman B, Ray P, Lewis N. Safety of HDTP -- a combined oligosaccharide conjugate (HbOC) Haemophilus influenzae type b (Hib) vaccine and DTP vaccine -- in infancy. Pediatr Res 1992;31</w:t>
      </w:r>
      <w:r>
        <w:rPr>
          <w:rFonts w:ascii="Times New Roman" w:hAnsi="Times New Roman" w:cs="Times New Roman"/>
          <w:color w:val="000000"/>
          <w:lang w:val="en-US"/>
        </w:rPr>
        <w:t>:158A.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17. Booy R, Moxon ER, MacFarlane JA, Mayon-White RT, Slack MPE. Efficacy of Haemophilus influenzae type B conjugate vaccine in Oxford region [Letter]. Lancet 1992; 340:847.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18. Booy R. Aitken SJM, Taylor S. et al. Immunogenicity of combined diphther</w:t>
      </w:r>
      <w:r>
        <w:rPr>
          <w:rFonts w:ascii="Times New Roman" w:hAnsi="Times New Roman" w:cs="Times New Roman"/>
          <w:color w:val="000000"/>
          <w:lang w:val="en-US"/>
        </w:rPr>
        <w:t>ia, tetanus, and pertussis vaccine given at 2, 3, and 4 months of age. Lancet 1992: 339:507 -- 10.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19. Bulkow LR., Wainwright RB., Letson GK., Chang SJ, Ward JI. Comparative immunogenicity of four Haemophilus influenzae type b conjugate vaccines in Alaska </w:t>
      </w:r>
      <w:r>
        <w:rPr>
          <w:rFonts w:ascii="Times New Roman" w:hAnsi="Times New Roman" w:cs="Times New Roman"/>
          <w:color w:val="000000"/>
          <w:lang w:val="en-US"/>
        </w:rPr>
        <w:t>Native infants. Pediatr Infect Dis J 1993;12:484 -- 92.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20. Campbell H, Byass P, Ahonkhai VI, Vella PP, Greenwood BM. Serologic responses to an Haemophilus influenzae type b polysaccharide-Neisseria meningitidis outer membrane protein conjugate vaccine in </w:t>
      </w:r>
      <w:r>
        <w:rPr>
          <w:rFonts w:ascii="Times New Roman" w:hAnsi="Times New Roman" w:cs="Times New Roman"/>
          <w:color w:val="000000"/>
          <w:lang w:val="en-US"/>
        </w:rPr>
        <w:t>very young Gambian infants. Pediatrics 1990;S6:102-7.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21. Clemens JD, Ferreccio C, Levine MM, et al. Impact of Haemophilus influenzae type B polysaccharide-tetanus protein conjugate vaccine on responses to concurrently administered diphtheria-tetanus-pertu</w:t>
      </w:r>
      <w:r>
        <w:rPr>
          <w:rFonts w:ascii="Times New Roman" w:hAnsi="Times New Roman" w:cs="Times New Roman"/>
          <w:color w:val="000000"/>
          <w:lang w:val="en-US"/>
        </w:rPr>
        <w:t>ssis vaccine. JAMA 1992;267:673-8.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22. Coursaget P, Yvonnet B, Relyveld EH., Barres JL, Diop-Mar I, Chiron JP. Simultaneous administration of diphtheria-tetanus-pertussis-polio and hepatitis B vaccines in a simplified program: immune response to diphtheria</w:t>
      </w:r>
      <w:r>
        <w:rPr>
          <w:rFonts w:ascii="Times New Roman" w:hAnsi="Times New Roman" w:cs="Times New Roman"/>
          <w:color w:val="000000"/>
          <w:lang w:val="en-US"/>
        </w:rPr>
        <w:t xml:space="preserve"> toxoid, tetanus toxoid, pertussis and hepatitis B surface antigen. Infect Immun 1986;51:784-7.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23. Dashefsky B, Wald E, Guerra N, Byers C. Safety, tolerability, and immunogenicity of concurrent administration of Haemophilus influenzae type b conjugate vac</w:t>
      </w:r>
      <w:r>
        <w:rPr>
          <w:rFonts w:ascii="Times New Roman" w:hAnsi="Times New Roman" w:cs="Times New Roman"/>
          <w:color w:val="000000"/>
          <w:lang w:val="en-US"/>
        </w:rPr>
        <w:t>cine (meningococcal protein conjugate) with either measles-mumps-rubella vaccine or diphtheria-tetanus-pertussis and oral poliovirus vaccines in 14- to 23-month old infants. Pediatrics 1990;85(Suppl):682-9.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24. Eskola J, Kayhty H, Takala AK, et al. A rando</w:t>
      </w:r>
      <w:r>
        <w:rPr>
          <w:rFonts w:ascii="Times New Roman" w:hAnsi="Times New Roman" w:cs="Times New Roman"/>
          <w:color w:val="000000"/>
          <w:lang w:val="en-US"/>
        </w:rPr>
        <w:t>mized prospective field trial of a conjugate vaccine in the protection of infants and young children against invasive Haemophilus influenzae type b disease. N Engl J Med 1990; 323:1381-7.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25. Eskola J, Kayhty H, Gordon LK, et al. Simultaneous administratio</w:t>
      </w:r>
      <w:r>
        <w:rPr>
          <w:rFonts w:ascii="Times New Roman" w:hAnsi="Times New Roman" w:cs="Times New Roman"/>
          <w:color w:val="000000"/>
          <w:lang w:val="en-US"/>
        </w:rPr>
        <w:t>n of Haemophilus influenzae type b capsular polysaccharide-diphtheria toxoid conjugate vaccine with routine diphtheria-tetanus-pertussis and inactivated poliovirus vaccinations of childhood. Pediatr Infect Dis J 1988;7:480-4.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26. Eskola J, Peltola H, Takal</w:t>
      </w:r>
      <w:r>
        <w:rPr>
          <w:rFonts w:ascii="Times New Roman" w:hAnsi="Times New Roman" w:cs="Times New Roman"/>
          <w:color w:val="000000"/>
          <w:lang w:val="en-US"/>
        </w:rPr>
        <w:t>a AK, et al. Efficacy of Haemophilus influenzae type b polysaccharide-diphtheria toxoid conjugate vaccine in infancy. N Engl J Med 1987;317:717-22.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27. Greenberg DP, Vadheim CM, Marcy CM, Ward JI, Kaiser-UCLA Hib Vaccine Study Group. Evaluation of the safety, immunogenicity and efficacy of Haemophilus b (Hib) PRP-T conjugate vaccine in a prospective, randomized and placebo -controlled trial in young i</w:t>
      </w:r>
      <w:r>
        <w:rPr>
          <w:rFonts w:ascii="Times New Roman" w:hAnsi="Times New Roman" w:cs="Times New Roman"/>
          <w:color w:val="000000"/>
          <w:lang w:val="en-US"/>
        </w:rPr>
        <w:t>nfants [Abstract 65]. In: Program and abstracts of the 31st Interscience Conference on Antimicrobial Agents and Chemotherapy, Chicago, IL, September 29 to October 2, 1991.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28. Vadheim CM, Greenberg DP, Partridge S, Jing J, Ward J, Kaiser-UCLA Vaccine Study</w:t>
      </w:r>
      <w:r>
        <w:rPr>
          <w:rFonts w:ascii="Times New Roman" w:hAnsi="Times New Roman" w:cs="Times New Roman"/>
          <w:color w:val="000000"/>
          <w:lang w:val="en-US"/>
        </w:rPr>
        <w:t xml:space="preserve"> Group. Effectiveness and safety of an Haemophilus influenzae type b conjugate vaccine (PRP-T) in young infants. Pediatrics 1993;92:272-9.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29. Greenberg DP, Vadheim SM, Marcy SM, Wong V, Margolis H, Ward JI. Safety and immunogenicity of two recombinant hep</w:t>
      </w:r>
      <w:r>
        <w:rPr>
          <w:rFonts w:ascii="Times New Roman" w:hAnsi="Times New Roman" w:cs="Times New Roman"/>
          <w:color w:val="000000"/>
          <w:lang w:val="en-US"/>
        </w:rPr>
        <w:t>atitis B vaccines given to 5000 infants as part of routine immunization at 2, 4, and 6 months of age. In: Program and abstracts of the 31st Interscience Conference on Antimicrobial Agents and Chemotherapy, Chicago, IL, September 29 to October 2, 1991.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30. </w:t>
      </w:r>
      <w:r>
        <w:rPr>
          <w:rFonts w:ascii="Times New Roman" w:hAnsi="Times New Roman" w:cs="Times New Roman"/>
          <w:color w:val="000000"/>
          <w:lang w:val="en-US"/>
        </w:rPr>
        <w:t>Hogerman D, Madore D, Keyserling H, et al. Safety and immunogenicity in infants of a tetravalent vaccine composed of HbOC (HibTITER") and DTP (TRI-IMMUNOL'). Pediatr Res 1992;31:174A.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31. Kaplan SL, Ward MA, Lauer BA, Wiedermann BL, Dukes CM. Immunogenicit</w:t>
      </w:r>
      <w:r>
        <w:rPr>
          <w:rFonts w:ascii="Times New Roman" w:hAnsi="Times New Roman" w:cs="Times New Roman"/>
          <w:color w:val="000000"/>
          <w:lang w:val="en-US"/>
        </w:rPr>
        <w:t>y and safety of H. influenzae type b-tetanus protein conjugate vaccine (PRP-T) alone or mixed with DTP in infants. Pediatr Res 1992; 31:166A.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32.King J, Keane V, Smilie M, et al. Safety and immunogenicity of combined DTP-HbOC vs separate DTP and HbOC vacci</w:t>
      </w:r>
      <w:r>
        <w:rPr>
          <w:rFonts w:ascii="Times New Roman" w:hAnsi="Times New Roman" w:cs="Times New Roman"/>
          <w:color w:val="000000"/>
          <w:lang w:val="en-US"/>
        </w:rPr>
        <w:t>nes. Program and abstracts of the 33rd Interscience Conference on Antimicrobial Agents and Chemotherapy, New Orleans, October 17 to 20, 1993.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33. Kovel A, Wald ER, Guerra N, Serdy C, Meschievitz CK. Safety and immunogenicity of acellular diphtheria-tetanus</w:t>
      </w:r>
      <w:r>
        <w:rPr>
          <w:rFonts w:ascii="Times New Roman" w:hAnsi="Times New Roman" w:cs="Times New Roman"/>
          <w:color w:val="000000"/>
          <w:lang w:val="en-US"/>
        </w:rPr>
        <w:t>-pertussis and Haemophilus conjugate vaccines given in combination or at separate injection sites. J Pediatr 199'2;120:84 -- 7.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34. Mulholland EK, Ahonkhai VI, Greenwood AM, et al. Safety and immunogenicity of Haemophilus influenzae type b-Neisseria mening</w:t>
      </w:r>
      <w:r>
        <w:rPr>
          <w:rFonts w:ascii="Times New Roman" w:hAnsi="Times New Roman" w:cs="Times New Roman"/>
          <w:color w:val="000000"/>
          <w:lang w:val="en-US"/>
        </w:rPr>
        <w:t>itidis Group b outer membrane protein complex conjugate vaccine mixed in the syringe with diphtheria-tetanus-pertussis vaccine in young Gambian infants. Pediatr Infect Dis J 1993;12:632 -- 7.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35. Paradisio P. Combined childhood immunizations [Letter]. JAMA</w:t>
      </w:r>
      <w:r>
        <w:rPr>
          <w:rFonts w:ascii="Times New Roman" w:hAnsi="Times New Roman" w:cs="Times New Roman"/>
          <w:color w:val="000000"/>
          <w:lang w:val="en-US"/>
        </w:rPr>
        <w:t xml:space="preserve"> 1992; 268: 1685.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36. Paradiso P, Hogerman D, Madore D, et al. Safety and immunogenicity in infants of a tetravalent vaccine composed of HbOC (HibTITER) and DTP (TRI-IMMUNOL) [Abstract 1028]. Pediatr Res 1992;31:174A.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37. Prikazsky V, Wynen J, Vandepapelie</w:t>
      </w:r>
      <w:r>
        <w:rPr>
          <w:rFonts w:ascii="Times New Roman" w:hAnsi="Times New Roman" w:cs="Times New Roman"/>
          <w:color w:val="000000"/>
          <w:lang w:val="en-US"/>
        </w:rPr>
        <w:t>re P. A combined diphtheria, tetanus and hepatitis B vaccine to facilitate integration of hepatitis B vaccine into EPI. Program and abstracts of the 33rd Interscience Conference on Antimicrobial Agents and Chemotherapy, New Orleans, October 17 to 20, 1993.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38. Peltola H, Eskola J, Kayhty H, et al. Clinical efficacy of the PRP-D vs. HbOC conjugate vaccines against Haemophilus influenzae type b (Hib). In: Program and abstracts of the 32nd Interscience Conference on Antimicrobial Agents and Chemotherapy, Anah</w:t>
      </w:r>
      <w:r>
        <w:rPr>
          <w:rFonts w:ascii="Times New Roman" w:hAnsi="Times New Roman" w:cs="Times New Roman"/>
          <w:color w:val="000000"/>
          <w:lang w:val="en-US"/>
        </w:rPr>
        <w:t>eim, CA, October 11 to 14, 1992.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39. Qureshi AW, Zulfiqar I, Siddiqui RN. Comparison of immunogenicity of combined DTP inactivated injectable polio vaccine (DPT-IPV) and association of DPT and attenuated oral polio vaccine (DPT+OPV) in Pakistani children. </w:t>
      </w:r>
      <w:r>
        <w:rPr>
          <w:rFonts w:ascii="Times New Roman" w:hAnsi="Times New Roman" w:cs="Times New Roman"/>
          <w:color w:val="000000"/>
          <w:lang w:val="en-US"/>
        </w:rPr>
        <w:t>J Pakistan Med Assoc 1989; 39:31-5.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40. Rennels MB, Reed GF, Edwards KM, et al. Comparison of reactogenicity of acellular and whole cell DTP vaccines given alone or simultaneously with Haemophilus influenzae type b conjugate vaccine [Abstract 585]. Pediatr</w:t>
      </w:r>
      <w:r>
        <w:rPr>
          <w:rFonts w:ascii="Times New Roman" w:hAnsi="Times New Roman" w:cs="Times New Roman"/>
          <w:color w:val="000000"/>
          <w:lang w:val="en-US"/>
        </w:rPr>
        <w:t xml:space="preserve"> Res 1992; 31: 100A.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41. Santosham M, Wolff M, Reid R, et al. The efficacy in Navajo infants of a conjugate vaccine consisting of Haemophilus influenzae type b polysaccharide and Neisseria meningitidis outer-membrane protein complex. N Engl J Med 1991; 32</w:t>
      </w:r>
      <w:r>
        <w:rPr>
          <w:rFonts w:ascii="Times New Roman" w:hAnsi="Times New Roman" w:cs="Times New Roman"/>
          <w:color w:val="000000"/>
          <w:lang w:val="en-US"/>
        </w:rPr>
        <w:t xml:space="preserve">4: 1767 - 72. 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42. Scheifele D, Bjornson G, Barreto L, Meekison W, Guasparini R. Controlled trial of Haemophilus influenzae type b diphtheria toxoid conjugate combined with diphtheria, tetanus and pertussis vaccines, in 18-month-old children, including com</w:t>
      </w:r>
      <w:r>
        <w:rPr>
          <w:rFonts w:ascii="Times New Roman" w:hAnsi="Times New Roman" w:cs="Times New Roman"/>
          <w:color w:val="000000"/>
          <w:lang w:val="en-US"/>
        </w:rPr>
        <w:t>parison of arm versus thigh injection. Vaccine 1992;10: 455 - 60.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43. Scheifele D, Barreto L, Meekison W, Guasparini R, Friesen B. Can Haemophilus influenzae type-b tetanus toxoid conjugate vaccine be combined with diphtheria toxoid, pertussis vaccine, tet</w:t>
      </w:r>
      <w:r>
        <w:rPr>
          <w:rFonts w:ascii="Times New Roman" w:hAnsi="Times New Roman" w:cs="Times New Roman"/>
          <w:color w:val="000000"/>
          <w:lang w:val="en-US"/>
        </w:rPr>
        <w:t>anus toxoid? Can Med Assoc J 1993; 149:1105-11.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44. Shinefield H, Black S, Adelman T, Ensor K, Hogerman D. Safety and immunogenicity of DTaP-HbOC-combined oligosaccharide conjugate (HbOC, HibTITER) Haemophilus influenzae type b and acellular DTP vaccine (D</w:t>
      </w:r>
      <w:r>
        <w:rPr>
          <w:rFonts w:ascii="Times New Roman" w:hAnsi="Times New Roman" w:cs="Times New Roman"/>
          <w:color w:val="000000"/>
          <w:lang w:val="en-US"/>
        </w:rPr>
        <w:t>TaP) in toddlers. In: Program and abstracts of the 32nd Interscience Conference on Antimicrobial Agents and Chemotherapy, Anaheim, CA, October 11 to 14, 1992.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45. Steinhoff MC, Thomas ML, Dannenfelser S, O'Donovan C. Immunogenicity of H. influenzae type b-</w:t>
      </w:r>
      <w:r>
        <w:rPr>
          <w:rFonts w:ascii="Times New Roman" w:hAnsi="Times New Roman" w:cs="Times New Roman"/>
          <w:color w:val="000000"/>
          <w:lang w:val="en-US"/>
        </w:rPr>
        <w:t>CRM197 conjugate vaccine (HbOC) given simultaneously with routine childhood immunizations. Pediatr Res 1990; 27:184A.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46. Ward J, Brenneman G, Letson GW, Heyward WL, the Alaska H. influenzae Vaccine Study Group. Limited efficacy of a Haemophilus influenzae</w:t>
      </w:r>
      <w:r>
        <w:rPr>
          <w:rFonts w:ascii="Times New Roman" w:hAnsi="Times New Roman" w:cs="Times New Roman"/>
          <w:color w:val="000000"/>
          <w:lang w:val="en-US"/>
        </w:rPr>
        <w:t xml:space="preserve"> type b conjugate vaccine in Alaska Native infants. N Encl J Med 1990; 323 :1393 - 401.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47. Watemberg N, Dagan R, Arbelli Y, et al. Safety and immunogenicity of Haemophilus type b-tetanus protein conjugate vaccine, mixed in the same syringe with diphtheria</w:t>
      </w:r>
      <w:r>
        <w:rPr>
          <w:rFonts w:ascii="Times New Roman" w:hAnsi="Times New Roman" w:cs="Times New Roman"/>
          <w:color w:val="000000"/>
          <w:lang w:val="en-US"/>
        </w:rPr>
        <w:t>-tetanus-pertussis vaccine in young infants. Pediatr Infect Dis 1991; 10:758 -- 61.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48. Berger R, Just M. Lack of interference between vaccines [Letter]. Pediatr Infect Dis 1983; 2:172.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49. Deforest A, Long SS, Lischner HW, et al. Simultaneous administrati</w:t>
      </w:r>
      <w:r>
        <w:rPr>
          <w:rFonts w:ascii="Times New Roman" w:hAnsi="Times New Roman" w:cs="Times New Roman"/>
          <w:color w:val="000000"/>
          <w:lang w:val="en-US"/>
        </w:rPr>
        <w:t>on of measles-mumps-rubella vaccine with booster dose of diphtheria-tetanus-pertussis and poliovirus vaccines. Pediatrics 1998; 81:237-46.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50. Huang LM, Lee CY, Hsu CY, et al. Effect of monovalent measles and trivalent measles-mumps-rubella vaccines at var</w:t>
      </w:r>
      <w:r>
        <w:rPr>
          <w:rFonts w:ascii="Times New Roman" w:hAnsi="Times New Roman" w:cs="Times New Roman"/>
          <w:color w:val="000000"/>
          <w:lang w:val="en-US"/>
        </w:rPr>
        <w:t>ious ages and concurrent administration with hepatitis B vaccine. Pediatr Infect Dis J 1990;9:461 -- 5.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51. John TJ. Selvakumar R, Balrai V, Simoes EAF. Antibody response to measles vaccine with DTPP [Letter]. Am J Dis Child 1987; 141:14.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52. Krugman RD, W</w:t>
      </w:r>
      <w:r>
        <w:rPr>
          <w:rFonts w:ascii="Times New Roman" w:hAnsi="Times New Roman" w:cs="Times New Roman"/>
          <w:color w:val="000000"/>
          <w:lang w:val="en-US"/>
        </w:rPr>
        <w:t>itte JJ, Parkman PD, et al. Combined administration of measles, mumps, rubella and trivalent oral poliovirus vaccines. Public Health Rep 1977; 92:220-2.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53. Rothstein E, Bernstein H, Pennridge Pediatric Association, et al. Simultaneous administration of an</w:t>
      </w:r>
      <w:r>
        <w:rPr>
          <w:rFonts w:ascii="Times New Roman" w:hAnsi="Times New Roman" w:cs="Times New Roman"/>
          <w:color w:val="000000"/>
          <w:lang w:val="en-US"/>
        </w:rPr>
        <w:t xml:space="preserve"> acellular pertussis-DT vaccine (APDT) with MMR and OPV vaccines. In: Program and abstracts of the 32nd Interscience Conference on Antimicrobial Agents and Chemotherapy, Anaheim, CA, October 11 to 14, 1992.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54. Simoes EAF, Balraj V, Selvakumar R, John TJ. </w:t>
      </w:r>
      <w:r>
        <w:rPr>
          <w:rFonts w:ascii="Times New Roman" w:hAnsi="Times New Roman" w:cs="Times New Roman"/>
          <w:color w:val="000000"/>
          <w:lang w:val="en-US"/>
        </w:rPr>
        <w:t>Antibody response of children to measles vaccine mixed with diphtheria-pertussis-tetanus or diphtheria-pertussis-tetanus-poliomyelitis vaccine. Am J Dis Child 1988; 142:309-11.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55. Parkman PD, Hopps HE, Albrecht P, Meyer HM Jr. Simultaneous administration of vaccines: recent advances in immunization. PAHO scientific publication 451. Washington, DC: Pan American Health Organization, 1983.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56. Halsey N, Galazka A. The efficacy of D</w:t>
      </w:r>
      <w:r>
        <w:rPr>
          <w:rFonts w:ascii="Times New Roman" w:hAnsi="Times New Roman" w:cs="Times New Roman"/>
          <w:color w:val="000000"/>
          <w:lang w:val="en-US"/>
        </w:rPr>
        <w:t>PT and oral poliomyelitis immunization schedules initiated from birth to 12 weeks of age. Bull WHO 1985; 63:1151-69.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57. Edwards KM, Decker MD, Halsey NA. et al. Differences in antibody response to whole-cell pertussis vaccines. Pediatrics 1991; 88 : 1019-</w:t>
      </w:r>
      <w:r>
        <w:rPr>
          <w:rFonts w:ascii="Times New Roman" w:hAnsi="Times New Roman" w:cs="Times New Roman"/>
          <w:color w:val="000000"/>
          <w:lang w:val="en-US"/>
        </w:rPr>
        <w:t>23.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58. Halperin SA, Bortolussi R, MacLean D, Chisholm N. Persistence of pertussis in an immunized population: results of the Nova Scotia enhanced pertussis surveillance program. J Pediatr 1989; 115:686-93.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59. Cody CL, Baraff LJ, Cherry JD, Marcy SM, Manc</w:t>
      </w:r>
      <w:r>
        <w:rPr>
          <w:rFonts w:ascii="Times New Roman" w:hAnsi="Times New Roman" w:cs="Times New Roman"/>
          <w:color w:val="000000"/>
          <w:lang w:val="en-US"/>
        </w:rPr>
        <w:t>lark CR. Nature and rates of adverse reactions associated with DTP and DT immunizations in infants and children. Pediatrics 1981; 68:650 -- 60.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60. Long SS, Deforest A, Pennridge Pediatric Associates, Smith DG, Lazaro C, Wassilak SGF. Longitudinal study of</w:t>
      </w:r>
      <w:r>
        <w:rPr>
          <w:rFonts w:ascii="Times New Roman" w:hAnsi="Times New Roman" w:cs="Times New Roman"/>
          <w:color w:val="000000"/>
          <w:lang w:val="en-US"/>
        </w:rPr>
        <w:t xml:space="preserve"> adverse reactions following diphtheria-tetanus-pertussis vaccine in infancy. Pediatrics 1990; 85:294-302.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61. Peltola H, Heinonen OP. Frequency of true adverse reactions to measles-mumps-rubella vaccine: a double blind placebo-controlled trial in twins. L</w:t>
      </w:r>
      <w:r>
        <w:rPr>
          <w:rFonts w:ascii="Times New Roman" w:hAnsi="Times New Roman" w:cs="Times New Roman"/>
          <w:color w:val="000000"/>
          <w:lang w:val="en-US"/>
        </w:rPr>
        <w:t>ancet 1986: 2:939-42.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62. Centers for Disease Control and Prevention. Adverse events following Immunization Surveillance Report No. 3, 1985 -- 86, Issued February 1989.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63. Centers for Disease Control and Prevention. New recommended schedule for' active im</w:t>
      </w:r>
      <w:r>
        <w:rPr>
          <w:rFonts w:ascii="Times New Roman" w:hAnsi="Times New Roman" w:cs="Times New Roman"/>
          <w:color w:val="000000"/>
          <w:lang w:val="en-US"/>
        </w:rPr>
        <w:t>munization of normal infants and children. MMWR 1986; 35:577-9.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64. Black SB, Shinefield HR. Fireman B, et al. Efficacy in infancy of oligosaccharide conjugate Haemophilus influenzae type b (HbOC) vaccine in a United States population of 61 O8O children. P</w:t>
      </w:r>
      <w:r>
        <w:rPr>
          <w:rFonts w:ascii="Times New Roman" w:hAnsi="Times New Roman" w:cs="Times New Roman"/>
          <w:color w:val="000000"/>
          <w:lang w:val="en-US"/>
        </w:rPr>
        <w:t>ediatr Infect Dis J 1991; 10:97-104.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65. Peltola H, Eskola J, Kayhty, et al. Clinical efficacy of the PRP-D vs. HbOC conjugate vaccines against Haemophilus influenzae type b (Hib). In: Program and abstracts of the 32nd Interscience Conference on Antimicrob</w:t>
      </w:r>
      <w:r>
        <w:rPr>
          <w:rFonts w:ascii="Times New Roman" w:hAnsi="Times New Roman" w:cs="Times New Roman"/>
          <w:color w:val="000000"/>
          <w:lang w:val="en-US"/>
        </w:rPr>
        <w:t>ial Agents and Chemotherapy, Anaheim, CA, October 11 to 14, 1992.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66. Booy R, Aitken SJM, Taylor S, et al. Immunogenicity of combined diphtheria, tetanus, and pertussis vaccine given at 2, 3 and 4 months versus 3, 5, and 9 months of age. Lancet 1992; 339:5</w:t>
      </w:r>
      <w:r>
        <w:rPr>
          <w:rFonts w:ascii="Times New Roman" w:hAnsi="Times New Roman" w:cs="Times New Roman"/>
          <w:color w:val="000000"/>
          <w:lang w:val="en-US"/>
        </w:rPr>
        <w:t>07-10.</w:t>
      </w:r>
    </w:p>
    <w:p w:rsidR="00000000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67. Booy R, Moxon ER, MacFarlane JA, Mayon-White RT, Slack MPE. Efficacy of Haemophilus influenzae type B conjugate vaccine in Oxford region [Letter]. Lancet 1992; 340:847.</w:t>
      </w:r>
    </w:p>
    <w:p w:rsidR="007933D1" w:rsidRDefault="007933D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68. Rennels MB, Edwards KM, Anderson EL, et al. Effect on pertussis immune r</w:t>
      </w:r>
      <w:r>
        <w:rPr>
          <w:rFonts w:ascii="Times New Roman" w:hAnsi="Times New Roman" w:cs="Times New Roman"/>
          <w:color w:val="000000"/>
          <w:lang w:val="en-US"/>
        </w:rPr>
        <w:t xml:space="preserve">esponses of administering Haemophilus influenzae type b (HIB) at the same time as acellular or whole cell DTP vaccine. Pediatr Res 1992; 31:100A. </w:t>
      </w:r>
      <w:r>
        <w:rPr>
          <w:rFonts w:ascii="Times New Roman" w:hAnsi="Times New Roman" w:cs="Times New Roman"/>
          <w:color w:val="000000"/>
        </w:rPr>
        <w:t>Abstract 584.</w:t>
      </w:r>
    </w:p>
    <w:sectPr w:rsidR="007933D1">
      <w:pgSz w:w="11907" w:h="16840" w:code="9"/>
      <w:pgMar w:top="1134" w:right="1134" w:bottom="1134" w:left="1134" w:header="1440" w:footer="1440" w:gutter="0"/>
      <w:cols w:space="720"/>
      <w:noEndnote/>
      <w:docGrid w:linePitch="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D1" w:rsidRDefault="007933D1">
      <w:r>
        <w:separator/>
      </w:r>
    </w:p>
  </w:endnote>
  <w:endnote w:type="continuationSeparator" w:id="0">
    <w:p w:rsidR="007933D1" w:rsidRDefault="007933D1">
      <w:r>
        <w:continuationSeparator/>
      </w:r>
    </w:p>
  </w:endnote>
  <w:endnote w:id="1">
    <w:p w:rsidR="00000000" w:rsidRDefault="007933D1">
      <w:pPr>
        <w:pStyle w:val="a4"/>
      </w:pPr>
    </w:p>
  </w:endnote>
  <w:endnote w:id="2">
    <w:p w:rsidR="00000000" w:rsidRDefault="007933D1">
      <w:pPr>
        <w:pStyle w:val="a4"/>
      </w:pPr>
    </w:p>
  </w:endnote>
  <w:endnote w:id="3">
    <w:p w:rsidR="00000000" w:rsidRDefault="007933D1">
      <w:pPr>
        <w:pStyle w:val="a4"/>
      </w:pPr>
    </w:p>
  </w:endnote>
  <w:endnote w:id="4">
    <w:p w:rsidR="00000000" w:rsidRDefault="007933D1">
      <w:pPr>
        <w:pStyle w:val="a4"/>
      </w:pPr>
    </w:p>
  </w:endnote>
  <w:endnote w:id="5">
    <w:p w:rsidR="00000000" w:rsidRDefault="007933D1">
      <w:pPr>
        <w:pStyle w:val="a4"/>
      </w:pPr>
    </w:p>
  </w:endnote>
  <w:endnote w:id="6">
    <w:p w:rsidR="00000000" w:rsidRDefault="007933D1">
      <w:pPr>
        <w:pStyle w:val="a4"/>
      </w:pPr>
    </w:p>
  </w:endnote>
  <w:endnote w:id="7">
    <w:p w:rsidR="00000000" w:rsidRDefault="007933D1">
      <w:pPr>
        <w:pStyle w:val="a4"/>
      </w:pPr>
    </w:p>
  </w:endnote>
  <w:endnote w:id="8">
    <w:p w:rsidR="00000000" w:rsidRDefault="007933D1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D1" w:rsidRDefault="007933D1">
      <w:r>
        <w:separator/>
      </w:r>
    </w:p>
  </w:footnote>
  <w:footnote w:type="continuationSeparator" w:id="0">
    <w:p w:rsidR="007933D1" w:rsidRDefault="007933D1">
      <w:r>
        <w:continuationSeparator/>
      </w:r>
    </w:p>
  </w:footnote>
  <w:footnote w:id="1">
    <w:p w:rsidR="00000000" w:rsidRDefault="007933D1">
      <w:pPr>
        <w:pStyle w:val="a7"/>
      </w:pPr>
      <w:r>
        <w:rPr>
          <w:rStyle w:val="a9"/>
        </w:rPr>
        <w:footnoteRef/>
      </w:r>
      <w:r>
        <w:t xml:space="preserve"> </w:t>
      </w:r>
      <w:r>
        <w:t>Принято</w:t>
      </w:r>
      <w:r>
        <w:t xml:space="preserve"> </w:t>
      </w:r>
      <w:r>
        <w:t>для</w:t>
      </w:r>
      <w:r>
        <w:t xml:space="preserve"> </w:t>
      </w:r>
      <w:r>
        <w:t>опублик</w:t>
      </w:r>
      <w:r>
        <w:t>ования</w:t>
      </w:r>
      <w:r>
        <w:t xml:space="preserve"> 22 </w:t>
      </w:r>
      <w:r>
        <w:t>февраля</w:t>
      </w:r>
      <w:r>
        <w:t xml:space="preserve"> 1994</w:t>
      </w:r>
      <w:r>
        <w:t>г</w:t>
      </w:r>
      <w:r>
        <w:t>.</w:t>
      </w:r>
    </w:p>
    <w:p w:rsidR="00000000" w:rsidRDefault="007933D1">
      <w:pPr>
        <w:pStyle w:val="a7"/>
      </w:pPr>
      <w:r>
        <w:t>Национальная</w:t>
      </w:r>
      <w:r>
        <w:t xml:space="preserve"> </w:t>
      </w:r>
      <w:r>
        <w:t>программа</w:t>
      </w:r>
      <w:r>
        <w:t xml:space="preserve"> </w:t>
      </w:r>
      <w:r>
        <w:t>иммунизации</w:t>
      </w:r>
      <w:r>
        <w:t xml:space="preserve">, </w:t>
      </w:r>
      <w:r>
        <w:t>Центры</w:t>
      </w:r>
      <w:r>
        <w:t xml:space="preserve"> </w:t>
      </w:r>
      <w:r>
        <w:t>по</w:t>
      </w:r>
      <w:r>
        <w:t xml:space="preserve"> </w:t>
      </w:r>
      <w:r>
        <w:t>борьбе</w:t>
      </w:r>
      <w:r>
        <w:t xml:space="preserve"> </w:t>
      </w:r>
      <w:r>
        <w:t>с</w:t>
      </w:r>
      <w:r>
        <w:t xml:space="preserve"> </w:t>
      </w:r>
      <w:r>
        <w:t>болезнями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профилактике</w:t>
      </w:r>
      <w:r>
        <w:t xml:space="preserve">, </w:t>
      </w:r>
      <w:r>
        <w:t>г</w:t>
      </w:r>
      <w:r>
        <w:t>.</w:t>
      </w:r>
      <w:r>
        <w:t>Атланта</w:t>
      </w:r>
      <w:r>
        <w:t xml:space="preserve">, </w:t>
      </w:r>
      <w:r>
        <w:t>шт</w:t>
      </w:r>
      <w:r>
        <w:t>.</w:t>
      </w:r>
      <w:r>
        <w:t>Джорджия</w:t>
      </w:r>
      <w:r>
        <w:t>.</w:t>
      </w:r>
    </w:p>
    <w:p w:rsidR="00000000" w:rsidRDefault="007933D1">
      <w:pPr>
        <w:pStyle w:val="a7"/>
      </w:pPr>
      <w:r>
        <w:t>Ключевые</w:t>
      </w:r>
      <w:r>
        <w:t xml:space="preserve"> </w:t>
      </w:r>
      <w:r>
        <w:t>слова</w:t>
      </w:r>
      <w:r>
        <w:t xml:space="preserve">: </w:t>
      </w:r>
      <w:r>
        <w:t>детские</w:t>
      </w:r>
      <w:r>
        <w:t xml:space="preserve"> </w:t>
      </w:r>
      <w:r>
        <w:t>прививки</w:t>
      </w:r>
      <w:r>
        <w:t xml:space="preserve">, </w:t>
      </w:r>
      <w:r>
        <w:t>неблагоприятные</w:t>
      </w:r>
      <w:r>
        <w:t xml:space="preserve"> </w:t>
      </w:r>
      <w:r>
        <w:t>события</w:t>
      </w:r>
      <w:r>
        <w:t xml:space="preserve">, </w:t>
      </w:r>
      <w:r>
        <w:t>иммуногенность</w:t>
      </w:r>
      <w:r>
        <w:t xml:space="preserve">, </w:t>
      </w:r>
      <w:r>
        <w:t>одновременное</w:t>
      </w:r>
      <w:r>
        <w:t xml:space="preserve"> </w:t>
      </w:r>
      <w:r>
        <w:t>введение</w:t>
      </w:r>
      <w:r>
        <w:t>.</w:t>
      </w:r>
    </w:p>
    <w:p w:rsidR="00000000" w:rsidRDefault="007933D1">
      <w:pPr>
        <w:pStyle w:val="a7"/>
      </w:pPr>
      <w:r>
        <w:t>Адрес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перепечаток</w:t>
      </w:r>
      <w:r>
        <w:rPr>
          <w:lang w:val="en-US"/>
        </w:rPr>
        <w:t>: Gail King, M.D., M.P.H., National Immunization Program, Centers for Disease Control, 1600 Clifton Rd. N.E., MS-E61,  Atlanta, GA 30333.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hyphenationZone w:val="142"/>
  <w:drawingGridHorizontalSpacing w:val="71"/>
  <w:drawingGridVerticalSpacing w:val="48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E8"/>
    <w:rsid w:val="000871E8"/>
    <w:rsid w:val="007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ascii="Univers Cd (W1)" w:hAnsi="Univers Cd (W1)" w:cs="Univers Cd (W1)"/>
    </w:rPr>
  </w:style>
  <w:style w:type="paragraph" w:styleId="a4">
    <w:name w:val="endnote text"/>
    <w:basedOn w:val="a"/>
    <w:link w:val="a5"/>
    <w:uiPriority w:val="9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Pr>
      <w:rFonts w:ascii="TimesET" w:hAnsi="TimesET" w:cs="TimesET"/>
      <w:sz w:val="20"/>
      <w:szCs w:val="20"/>
    </w:rPr>
  </w:style>
  <w:style w:type="character" w:styleId="a6">
    <w:name w:val="endnote reference"/>
    <w:basedOn w:val="a0"/>
    <w:uiPriority w:val="99"/>
    <w:rPr>
      <w:vertAlign w:val="superscript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ET" w:hAnsi="TimesET" w:cs="TimesET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ET" w:hAnsi="TimesET" w:cs="TimesET"/>
      <w:sz w:val="24"/>
      <w:szCs w:val="24"/>
    </w:rPr>
  </w:style>
  <w:style w:type="character" w:styleId="ac">
    <w:name w:val="annotation reference"/>
    <w:basedOn w:val="a0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rFonts w:ascii="TimesET" w:hAnsi="TimesET" w:cs="TimesET"/>
      <w:sz w:val="20"/>
      <w:szCs w:val="20"/>
    </w:rPr>
  </w:style>
  <w:style w:type="paragraph" w:styleId="af">
    <w:name w:val="header"/>
    <w:basedOn w:val="a"/>
    <w:link w:val="af0"/>
    <w:uiPriority w:val="99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ET" w:hAnsi="TimesET" w:cs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ascii="Univers Cd (W1)" w:hAnsi="Univers Cd (W1)" w:cs="Univers Cd (W1)"/>
    </w:rPr>
  </w:style>
  <w:style w:type="paragraph" w:styleId="a4">
    <w:name w:val="endnote text"/>
    <w:basedOn w:val="a"/>
    <w:link w:val="a5"/>
    <w:uiPriority w:val="9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Pr>
      <w:rFonts w:ascii="TimesET" w:hAnsi="TimesET" w:cs="TimesET"/>
      <w:sz w:val="20"/>
      <w:szCs w:val="20"/>
    </w:rPr>
  </w:style>
  <w:style w:type="character" w:styleId="a6">
    <w:name w:val="endnote reference"/>
    <w:basedOn w:val="a0"/>
    <w:uiPriority w:val="99"/>
    <w:rPr>
      <w:vertAlign w:val="superscript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ET" w:hAnsi="TimesET" w:cs="TimesET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ET" w:hAnsi="TimesET" w:cs="TimesET"/>
      <w:sz w:val="24"/>
      <w:szCs w:val="24"/>
    </w:rPr>
  </w:style>
  <w:style w:type="character" w:styleId="ac">
    <w:name w:val="annotation reference"/>
    <w:basedOn w:val="a0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rFonts w:ascii="TimesET" w:hAnsi="TimesET" w:cs="TimesET"/>
      <w:sz w:val="20"/>
      <w:szCs w:val="20"/>
    </w:rPr>
  </w:style>
  <w:style w:type="paragraph" w:styleId="af">
    <w:name w:val="header"/>
    <w:basedOn w:val="a"/>
    <w:link w:val="af0"/>
    <w:uiPriority w:val="99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ET" w:hAnsi="TimesET" w:cs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8892</Words>
  <Characters>50688</Characters>
  <Application>Microsoft Office Word</Application>
  <DocSecurity>0</DocSecurity>
  <Lines>422</Lines>
  <Paragraphs>118</Paragraphs>
  <ScaleCrop>false</ScaleCrop>
  <Company>PERSONAL COMPUTERS</Company>
  <LinksUpToDate>false</LinksUpToDate>
  <CharactersWithSpaces>59462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ЦЕНТРЫ ПО БОРЬБЕ С БОЛЕЗНЯМИ: СОВРЕМЕННЫЕ ПРОБЛЕМЫ В ПЕДИАТРИИ</dc:title>
  <dc:creator>Alex Bokov</dc:creator>
  <cp:lastModifiedBy>Igor</cp:lastModifiedBy>
  <cp:revision>3</cp:revision>
  <dcterms:created xsi:type="dcterms:W3CDTF">2024-07-21T15:09:00Z</dcterms:created>
  <dcterms:modified xsi:type="dcterms:W3CDTF">2024-07-21T15:09:00Z</dcterms:modified>
</cp:coreProperties>
</file>