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0B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Современные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рекомендации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стандартам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ультразвуковой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оценки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объема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щитовидной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000000" w:rsidRDefault="00A60B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железы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детей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подростков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 Д.Е. Шилин, Российс</w:t>
      </w:r>
      <w:r>
        <w:rPr>
          <w:color w:val="000000"/>
          <w:sz w:val="24"/>
          <w:szCs w:val="24"/>
        </w:rPr>
        <w:t>кая Медицинская Академия последипломного образования МЗ РФ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невозможно представить диагностику любой тиреоидной патологии без визуализации щитовидной железы (ЩЖ) и определения её объёма ультразвуковым методом. Поэтому исключительно важными</w:t>
      </w:r>
      <w:r>
        <w:rPr>
          <w:color w:val="000000"/>
          <w:sz w:val="24"/>
          <w:szCs w:val="24"/>
        </w:rPr>
        <w:t xml:space="preserve"> являются разработка и оценка точности стандартов нормы — особенно в педиатрической практике. От того, насколько верны нормативы тиреоидного объёма (ТО) в детском и подростковом возрасте, зависит не только постановка диагноза у конкретного ребёнка, но такж</w:t>
      </w:r>
      <w:r>
        <w:rPr>
          <w:color w:val="000000"/>
          <w:sz w:val="24"/>
          <w:szCs w:val="24"/>
        </w:rPr>
        <w:t xml:space="preserve">е определение наличия и степени тяжести зобной эндемии во всей популяции, населяющей тот или иной регион — путём массовых исследований детского населения 6-12 лет.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начала 90-х годов ХХ века широкое распространение в мире получили количественные стандарт</w:t>
      </w:r>
      <w:r>
        <w:rPr>
          <w:color w:val="000000"/>
          <w:sz w:val="24"/>
          <w:szCs w:val="24"/>
        </w:rPr>
        <w:t>ы ТО, разработанные для детей Р. Гутекунстом и соавт. [</w:t>
      </w:r>
      <w:hyperlink r:id="rId6" w:anchor="8" w:history="1">
        <w:r>
          <w:rPr>
            <w:rStyle w:val="a4"/>
            <w:sz w:val="24"/>
            <w:szCs w:val="24"/>
          </w:rPr>
          <w:t>8</w:t>
        </w:r>
      </w:hyperlink>
      <w:r>
        <w:rPr>
          <w:color w:val="000000"/>
          <w:sz w:val="24"/>
          <w:szCs w:val="24"/>
        </w:rPr>
        <w:t>]. Но в последнее время в отечественной практике стали применяться нормативы, разработанные группой Ф. Деланжа и рекоменд</w:t>
      </w:r>
      <w:r>
        <w:rPr>
          <w:color w:val="000000"/>
          <w:sz w:val="24"/>
          <w:szCs w:val="24"/>
        </w:rPr>
        <w:t>ованные ВОЗ [</w:t>
      </w:r>
      <w:hyperlink r:id="rId7" w:anchor="6" w:history="1">
        <w:r>
          <w:rPr>
            <w:rStyle w:val="a4"/>
            <w:sz w:val="24"/>
            <w:szCs w:val="24"/>
          </w:rPr>
          <w:t>6</w:t>
        </w:r>
      </w:hyperlink>
      <w:r>
        <w:rPr>
          <w:color w:val="000000"/>
          <w:sz w:val="24"/>
          <w:szCs w:val="24"/>
        </w:rPr>
        <w:t>]. Стоит отметить, что при решении вопроса об использовании этих международных рекомендаций в России разработчики Консенсуса</w:t>
      </w:r>
      <w:hyperlink r:id="rId8" w:anchor="aaa" w:tooltip="Касаткина Э.П., Петеркова В.А., Мартынова М.И. и др. Консенсус. Эндемический зоб у детей: терминология, диагностика, профилактика и лечение. // Пробл. эндокринол. – 1999. – Т " w:history="1">
        <w:r>
          <w:rPr>
            <w:rStyle w:val="a4"/>
            <w:sz w:val="24"/>
            <w:szCs w:val="24"/>
            <w:vertAlign w:val="superscript"/>
          </w:rPr>
          <w:t>1</w:t>
        </w:r>
      </w:hyperlink>
      <w:r>
        <w:rPr>
          <w:color w:val="000000"/>
          <w:sz w:val="24"/>
          <w:szCs w:val="24"/>
        </w:rPr>
        <w:t xml:space="preserve"> руководствовались необходимостью </w:t>
      </w:r>
      <w:r>
        <w:rPr>
          <w:color w:val="000000"/>
          <w:sz w:val="24"/>
          <w:szCs w:val="24"/>
        </w:rPr>
        <w:t xml:space="preserve">повсеместного и экстренного разворачивания программы противозобных мероприятий. И для этого на том этапе было крайне важным унифицировать в качестве методического инструмента диагностики зоба единые подходы к ультразвуковой оценке размеров ЩЖ — в качестве </w:t>
      </w:r>
      <w:r>
        <w:rPr>
          <w:color w:val="000000"/>
          <w:sz w:val="24"/>
          <w:szCs w:val="24"/>
        </w:rPr>
        <w:t>таковых и были утверждены рекомендации Деланжа. Однако внедрение этих нормативов в практику тут же породило дискуссию об их объективности [</w:t>
      </w:r>
      <w:hyperlink r:id="rId9" w:anchor="4" w:history="1">
        <w:r>
          <w:rPr>
            <w:rStyle w:val="a4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 xml:space="preserve">, </w:t>
      </w:r>
      <w:hyperlink r:id="rId10" w:anchor="5" w:history="1">
        <w:r>
          <w:rPr>
            <w:rStyle w:val="a4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>]. Складывалось впечатление, что разработанные значения нормы завышены: существенно меньшими, чем рекомендованные ВОЗ, оказались средние величины ТО не только у школьников, проживающих в условиях нормального обе</w:t>
      </w:r>
      <w:r>
        <w:rPr>
          <w:color w:val="000000"/>
          <w:sz w:val="24"/>
          <w:szCs w:val="24"/>
        </w:rPr>
        <w:t>спечения йодом (например, США, Швейцарии, Малайзии, Германии), но и у детей из ряда регионов лёгкого дефицита йода (Китая, Румынии, России) [</w:t>
      </w:r>
      <w:hyperlink r:id="rId11" w:anchor="6" w:history="1">
        <w:r>
          <w:rPr>
            <w:rStyle w:val="a4"/>
            <w:sz w:val="24"/>
            <w:szCs w:val="24"/>
          </w:rPr>
          <w:t>6</w:t>
        </w:r>
      </w:hyperlink>
      <w:r>
        <w:rPr>
          <w:color w:val="000000"/>
          <w:sz w:val="24"/>
          <w:szCs w:val="24"/>
        </w:rPr>
        <w:t xml:space="preserve">, </w:t>
      </w:r>
      <w:hyperlink r:id="rId12" w:anchor="8" w:history="1">
        <w:r>
          <w:rPr>
            <w:rStyle w:val="a4"/>
            <w:sz w:val="24"/>
            <w:szCs w:val="24"/>
          </w:rPr>
          <w:t>8</w:t>
        </w:r>
      </w:hyperlink>
      <w:r>
        <w:rPr>
          <w:color w:val="000000"/>
          <w:sz w:val="24"/>
          <w:szCs w:val="24"/>
        </w:rPr>
        <w:t xml:space="preserve">, </w:t>
      </w:r>
      <w:hyperlink r:id="rId13" w:anchor="10" w:history="1">
        <w:r>
          <w:rPr>
            <w:rStyle w:val="a4"/>
            <w:sz w:val="24"/>
            <w:szCs w:val="24"/>
          </w:rPr>
          <w:t>10</w:t>
        </w:r>
      </w:hyperlink>
      <w:r>
        <w:rPr>
          <w:color w:val="000000"/>
          <w:sz w:val="24"/>
          <w:szCs w:val="24"/>
        </w:rPr>
        <w:t>-</w:t>
      </w:r>
      <w:hyperlink r:id="rId14" w:anchor="12" w:history="1">
        <w:r>
          <w:rPr>
            <w:rStyle w:val="a4"/>
            <w:sz w:val="24"/>
            <w:szCs w:val="24"/>
          </w:rPr>
          <w:t>12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обстоятельства послужили веским ар</w:t>
      </w:r>
      <w:r>
        <w:rPr>
          <w:color w:val="000000"/>
          <w:sz w:val="24"/>
          <w:szCs w:val="24"/>
        </w:rPr>
        <w:t>гументом для специального выяснения причин названных расхождений, а также установления факторов, вызвавших их. Путём специальной научной экспертизы, выполненной четыре года спустя после утверждения в 1997 году нормативов Деланжа (март 2000 г.; Цюрих), уста</w:t>
      </w:r>
      <w:r>
        <w:rPr>
          <w:color w:val="000000"/>
          <w:sz w:val="24"/>
          <w:szCs w:val="24"/>
        </w:rPr>
        <w:t>новлено, что они, действительно, слишком высоки и не отражают реальную норму. Всё это связано с применением нестандартного подхода к УЗ-визуализации ЩЖ, который использовался авторами документа ВОЗ. Систематическая методическая ошибка, приводившая к завыше</w:t>
      </w:r>
      <w:r>
        <w:rPr>
          <w:color w:val="000000"/>
          <w:sz w:val="24"/>
          <w:szCs w:val="24"/>
        </w:rPr>
        <w:t>нию ТО у каждого обследованного ребёнка, была обусловлена искусственным завышением размера высоты долей ЩЖ за счёт избыточного сдавления последней измерительным датчиком. На основании этого критического опыта инициативной группой ВОЗ, в состав которой вошл</w:t>
      </w:r>
      <w:r>
        <w:rPr>
          <w:color w:val="000000"/>
          <w:sz w:val="24"/>
          <w:szCs w:val="24"/>
        </w:rPr>
        <w:t xml:space="preserve">и ответственные лица Международного комитета по контролю йоддефицитных заболеваний (МККЙДЗ, в том числе, и сам Ф. Деланж), было предложено пересмотреть референтные сонографические критерии ТО для детей. Установлено, что использование версии нормативов ВОЗ </w:t>
      </w:r>
      <w:r>
        <w:rPr>
          <w:color w:val="000000"/>
          <w:sz w:val="24"/>
          <w:szCs w:val="24"/>
        </w:rPr>
        <w:t>от 1997 г. возможно только при условии их коррекции — путём умножения величины 97 перцентили на поправку 0,71. Этот документ опубликован в 2001 году в официальном печатном органе МККЙДЗ [</w:t>
      </w:r>
      <w:hyperlink r:id="rId15" w:anchor="1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>] и представлен в Глобальной Сети на его сайте [</w:t>
      </w:r>
      <w:hyperlink r:id="rId16" w:history="1">
        <w:r>
          <w:rPr>
            <w:rStyle w:val="a4"/>
            <w:sz w:val="24"/>
            <w:szCs w:val="24"/>
          </w:rPr>
          <w:t>http://www.iccidd.org/</w:t>
        </w:r>
      </w:hyperlink>
      <w:r>
        <w:rPr>
          <w:color w:val="000000"/>
          <w:sz w:val="24"/>
          <w:szCs w:val="24"/>
        </w:rPr>
        <w:t xml:space="preserve">]. Призыв к пересмотру стандартов был дополнен информацией о модифицированных значениях нормы (представленных в виде таблиц </w:t>
      </w:r>
      <w:hyperlink r:id="rId17" w:tgtFrame="_blank" w:history="1">
        <w:r>
          <w:rPr>
            <w:rStyle w:val="a4"/>
            <w:sz w:val="24"/>
            <w:szCs w:val="24"/>
          </w:rPr>
          <w:t>1</w:t>
        </w:r>
      </w:hyperlink>
      <w:r>
        <w:rPr>
          <w:color w:val="000000"/>
          <w:sz w:val="24"/>
          <w:szCs w:val="24"/>
        </w:rPr>
        <w:t xml:space="preserve"> и </w:t>
      </w:r>
      <w:hyperlink r:id="rId18" w:tgtFrame="_blank" w:history="1"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>). А в заключении отмечено, что предложенные критерии должны рассматриваться в качестве обновлё</w:t>
      </w:r>
      <w:r>
        <w:rPr>
          <w:color w:val="000000"/>
          <w:sz w:val="24"/>
          <w:szCs w:val="24"/>
        </w:rPr>
        <w:t>нной версии нормативов ВОЗ взамен рекомендациям 1997 г. [</w:t>
      </w:r>
      <w:hyperlink r:id="rId19" w:anchor="7" w:history="1">
        <w:r>
          <w:rPr>
            <w:rStyle w:val="a4"/>
            <w:sz w:val="24"/>
            <w:szCs w:val="24"/>
          </w:rPr>
          <w:t>7</w:t>
        </w:r>
      </w:hyperlink>
      <w:r>
        <w:rPr>
          <w:color w:val="000000"/>
          <w:sz w:val="24"/>
          <w:szCs w:val="24"/>
        </w:rPr>
        <w:t>] и использоваться впредь как референтный стандарт при оценке УЗ-результатов у детей школьного возраста [</w:t>
      </w:r>
      <w:hyperlink r:id="rId20" w:anchor="1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Безусловно, любая попытка повышения точности медицинского обследования должна приветствоваться, а всякий новый опыт, тем более представленный как официальная позиция авторитетной орган</w:t>
      </w:r>
      <w:r>
        <w:rPr>
          <w:color w:val="000000"/>
          <w:sz w:val="24"/>
          <w:szCs w:val="24"/>
        </w:rPr>
        <w:t>изации ВОЗ, необходимо учитывать при реализации государственной программы ликвидации йоддефицитных заболеваний и широко распространять в практической сети. Мы считаем целесообразным принять призыв зарубежных коллег и ускорить процесс внедрения пересмотренн</w:t>
      </w:r>
      <w:r>
        <w:rPr>
          <w:color w:val="000000"/>
          <w:sz w:val="24"/>
          <w:szCs w:val="24"/>
        </w:rPr>
        <w:t>ых нормативов. Это важно как для первичной оценки детскими эндокринологами результатов своей текущей работы, так и для ретроспективной переоценки главными специалистами соответствующих служб и организаторами здравоохранения ситуации в эндемичных йоддефицит</w:t>
      </w:r>
      <w:r>
        <w:rPr>
          <w:color w:val="000000"/>
          <w:sz w:val="24"/>
          <w:szCs w:val="24"/>
        </w:rPr>
        <w:t>ных районах РФ. Таким образом, возникают две технические задачи по оптимизации противозобной службы среди детского населения РФ, требующие стандартизации диагностических подходов. И, в первую очередь, эндокринологам следует принять во внимание главные треб</w:t>
      </w:r>
      <w:r>
        <w:rPr>
          <w:color w:val="000000"/>
          <w:sz w:val="24"/>
          <w:szCs w:val="24"/>
        </w:rPr>
        <w:t xml:space="preserve">ования, которые клиницисты в заботе о точности диагностики зоба должны предъявлять к самой процедуре измерения размеров ЩЖ и информировать о них врачей-биоакустиков. </w:t>
      </w:r>
    </w:p>
    <w:p w:rsidR="00000000" w:rsidRDefault="00A60B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для клиницистов о технике измерения тиреоидного объема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измерения размеро</w:t>
      </w:r>
      <w:r>
        <w:rPr>
          <w:color w:val="000000"/>
          <w:sz w:val="24"/>
          <w:szCs w:val="24"/>
        </w:rPr>
        <w:t>в ЩЖ должна предусматривать следующий минимум опорных элементов. Исследование лучше выполнять в положении ребёнка сидя (как из соображений удобства и экономии времени, так и с учётом недопущения артефактов измерения, возникающих при переразгибании шеи в сл</w:t>
      </w:r>
      <w:r>
        <w:rPr>
          <w:color w:val="000000"/>
          <w:sz w:val="24"/>
          <w:szCs w:val="24"/>
        </w:rPr>
        <w:t xml:space="preserve">учаях осмотра его лёжа на валике под спиной). Как и для других поверхностно расположенных органов, необходим линейный датчик с частотой 7,5-12 МГц, но не менее 5. Положение датчика на шее обследуемого должно сопровождаться </w:t>
      </w:r>
      <w:r>
        <w:rPr>
          <w:rStyle w:val="a5"/>
          <w:b w:val="0"/>
          <w:bCs w:val="0"/>
          <w:color w:val="000000"/>
          <w:sz w:val="24"/>
          <w:szCs w:val="24"/>
        </w:rPr>
        <w:t>минимальным давлением на кожу</w:t>
      </w:r>
      <w:r>
        <w:rPr>
          <w:color w:val="000000"/>
          <w:sz w:val="24"/>
          <w:szCs w:val="24"/>
        </w:rPr>
        <w:t xml:space="preserve"> (из</w:t>
      </w:r>
      <w:r>
        <w:rPr>
          <w:color w:val="000000"/>
          <w:sz w:val="24"/>
          <w:szCs w:val="24"/>
        </w:rPr>
        <w:t xml:space="preserve">бегать расплющивания долей, что искажает результат в сторону завышения — особенно у детей). Измерять линейные размеры следует только на таких поперечных и продольных срезах долей, которые отражают </w:t>
      </w:r>
      <w:r>
        <w:rPr>
          <w:rStyle w:val="a5"/>
          <w:b w:val="0"/>
          <w:bCs w:val="0"/>
          <w:color w:val="000000"/>
          <w:sz w:val="24"/>
          <w:szCs w:val="24"/>
        </w:rPr>
        <w:t>максимальную их величину</w:t>
      </w:r>
      <w:r>
        <w:rPr>
          <w:color w:val="000000"/>
          <w:sz w:val="24"/>
          <w:szCs w:val="24"/>
        </w:rPr>
        <w:t xml:space="preserve"> (случайный или иной произвольный в</w:t>
      </w:r>
      <w:r>
        <w:rPr>
          <w:color w:val="000000"/>
          <w:sz w:val="24"/>
          <w:szCs w:val="24"/>
        </w:rPr>
        <w:t xml:space="preserve">ыбор срезов приведёт к ложному занижению фактической величины). Избирая </w:t>
      </w:r>
      <w:r>
        <w:rPr>
          <w:rStyle w:val="a5"/>
          <w:b w:val="0"/>
          <w:bCs w:val="0"/>
          <w:color w:val="000000"/>
          <w:sz w:val="24"/>
          <w:szCs w:val="24"/>
        </w:rPr>
        <w:t>поперечный срез</w:t>
      </w:r>
      <w:r>
        <w:rPr>
          <w:color w:val="000000"/>
          <w:sz w:val="24"/>
          <w:szCs w:val="24"/>
        </w:rPr>
        <w:t xml:space="preserve">, следует ориентироваться на истинную (анатомическую) поперечную плоскость сечения (горизонтально — не под углом), тогда как </w:t>
      </w:r>
      <w:r>
        <w:rPr>
          <w:rStyle w:val="a5"/>
          <w:b w:val="0"/>
          <w:bCs w:val="0"/>
          <w:color w:val="000000"/>
          <w:sz w:val="24"/>
          <w:szCs w:val="24"/>
        </w:rPr>
        <w:t>продольный размер</w:t>
      </w:r>
      <w:r>
        <w:rPr>
          <w:color w:val="000000"/>
          <w:sz w:val="24"/>
          <w:szCs w:val="24"/>
        </w:rPr>
        <w:t xml:space="preserve"> (длина или высота долей) в</w:t>
      </w:r>
      <w:r>
        <w:rPr>
          <w:color w:val="000000"/>
          <w:sz w:val="24"/>
          <w:szCs w:val="24"/>
        </w:rPr>
        <w:t xml:space="preserve"> действительности определяется по оси, отклоняющейся от вертикальной: оптимальным является такое </w:t>
      </w:r>
      <w:r>
        <w:rPr>
          <w:rStyle w:val="a5"/>
          <w:b w:val="0"/>
          <w:bCs w:val="0"/>
          <w:color w:val="000000"/>
          <w:sz w:val="24"/>
          <w:szCs w:val="24"/>
        </w:rPr>
        <w:t>косо-вертикальное</w:t>
      </w:r>
      <w:r>
        <w:rPr>
          <w:color w:val="000000"/>
          <w:sz w:val="24"/>
          <w:szCs w:val="24"/>
        </w:rPr>
        <w:t xml:space="preserve">положение датчика, когда он ориентирован параллельно наружному краю кивательной (грудино-ключично-сосцевидной) мышцы.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измерении размеров </w:t>
      </w:r>
      <w:r>
        <w:rPr>
          <w:color w:val="000000"/>
          <w:sz w:val="24"/>
          <w:szCs w:val="24"/>
        </w:rPr>
        <w:t>ЩЖ важно помнить, что пространственную величину органа характеризует только суммарный объём железистой ткани, а отдельные линейные параметры (толщина, ширина и длина долей; в том числе, и площадь сечения в прямом или поперечном срезах) никакой смысловой на</w:t>
      </w:r>
      <w:r>
        <w:rPr>
          <w:color w:val="000000"/>
          <w:sz w:val="24"/>
          <w:szCs w:val="24"/>
        </w:rPr>
        <w:t>грузки не несут (!). Для того и измеряются три линейных размера каждой доли (в см), чтобы на их основании по формуле J.Brunn (1981 г.) рассчитать величину ТО (в мл или в 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), равную сумме произведений трёх размеров справа и слева, умноженной на поправочны</w:t>
      </w:r>
      <w:r>
        <w:rPr>
          <w:color w:val="000000"/>
          <w:sz w:val="24"/>
          <w:szCs w:val="24"/>
        </w:rPr>
        <w:t xml:space="preserve">й </w:t>
      </w:r>
      <w:r>
        <w:rPr>
          <w:rStyle w:val="a5"/>
          <w:b w:val="0"/>
          <w:bCs w:val="0"/>
          <w:color w:val="000000"/>
          <w:sz w:val="24"/>
          <w:szCs w:val="24"/>
        </w:rPr>
        <w:t>коэффициент 0,479</w:t>
      </w:r>
      <w:r>
        <w:rPr>
          <w:color w:val="000000"/>
          <w:sz w:val="24"/>
          <w:szCs w:val="24"/>
        </w:rPr>
        <w:t>. Другие способы, формулы или поправки на иные индексы являются устаревшими и не соответствуют стандарту ВОЗ. Раздельный подсчёт объёма долей не проводится, поскольку только их суммарная величина отражает количество синтезирующей гормоны</w:t>
      </w:r>
      <w:r>
        <w:rPr>
          <w:color w:val="000000"/>
          <w:sz w:val="24"/>
          <w:szCs w:val="24"/>
        </w:rPr>
        <w:t xml:space="preserve"> ткани. Оценка симметричности величины долей лишена всякого клинического смысла и не нужна, так как в норме как минимум три четверти здоровых людей имеют физиологическую асимметрию размеров всех парных органов. Приемлемой для клинической практики и адекват</w:t>
      </w:r>
      <w:r>
        <w:rPr>
          <w:color w:val="000000"/>
          <w:sz w:val="24"/>
          <w:szCs w:val="24"/>
        </w:rPr>
        <w:t>ной для эндокринологов унифицированной классификации степеней увеличения ТО (в отличие от пальпаторно-визуальной шкалы ВОЗ 1994 г.) в мире нет. Клинициста интересует только одно: отличается ли ТО у обследованного от нормального стандарта или нет. А степень</w:t>
      </w:r>
      <w:r>
        <w:rPr>
          <w:color w:val="000000"/>
          <w:sz w:val="24"/>
          <w:szCs w:val="24"/>
        </w:rPr>
        <w:t xml:space="preserve"> отклонения от верхней границы нормы (при увеличении ЩЖ, именуемой эндокринологами зобом, а в эхографии — тиромегалией) при необходимости может быть выражена в процентах. Последняя информация («+%» или «–%») имеет второстепенное значение и необходима врачу</w:t>
      </w:r>
      <w:r>
        <w:rPr>
          <w:color w:val="000000"/>
          <w:sz w:val="24"/>
          <w:szCs w:val="24"/>
        </w:rPr>
        <w:t xml:space="preserve"> только для динамического сравнения изменений относительного объёма на фоне лечения при оценке его эффективности для </w:t>
      </w:r>
      <w:r>
        <w:rPr>
          <w:color w:val="000000"/>
          <w:sz w:val="24"/>
          <w:szCs w:val="24"/>
        </w:rPr>
        <w:lastRenderedPageBreak/>
        <w:t xml:space="preserve">коррекции характера лекарственной терапии и/или дозы препаратов.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 о том, кто из врачей (специалист по УЗД или эндокринолог) должен и</w:t>
      </w:r>
      <w:r>
        <w:rPr>
          <w:color w:val="000000"/>
          <w:sz w:val="24"/>
          <w:szCs w:val="24"/>
        </w:rPr>
        <w:t>нтерпретировать результат волюмометрии, скорее всего, следует дифференцировать от возрастной категории пациента. У взрослых его решение можно возложить на специалиста по УЗД. В детской и подростковой практике окончательная оценка величины ТО может проводит</w:t>
      </w:r>
      <w:r>
        <w:rPr>
          <w:color w:val="000000"/>
          <w:sz w:val="24"/>
          <w:szCs w:val="24"/>
        </w:rPr>
        <w:t>ься только клиницистом, поскольку у детей нормирование учитывает площадь поверхности тела ребёнка (в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), для расчёта которой необходимы фактические сведения о его росте и массе тела на момент проведения УЗИ ЩЖ. </w:t>
      </w:r>
    </w:p>
    <w:p w:rsidR="00000000" w:rsidRDefault="00A60B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 переоценки напряжённости зобной эндеми</w:t>
      </w:r>
      <w:r>
        <w:rPr>
          <w:b/>
          <w:bCs/>
          <w:color w:val="000000"/>
          <w:sz w:val="28"/>
          <w:szCs w:val="28"/>
        </w:rPr>
        <w:t>и с учётом пересмотра уз-нормативов (2001 г.)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мы располагаем возможностью объективно предсказать неизбежные спорные моменты, которые возникнут перед организаторами здравоохранения при ревизии индикаторов эндемического процесса на многих террито</w:t>
      </w:r>
      <w:r>
        <w:rPr>
          <w:color w:val="000000"/>
          <w:sz w:val="24"/>
          <w:szCs w:val="24"/>
        </w:rPr>
        <w:t xml:space="preserve">риях нашей страны на этапе перехода на новую систему стандартов.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Стандартные нормативы тиреоидного объёма в зависимости от возраста и пола детей (97-перцентиль; по данным УЗИ)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2"/>
        <w:gridCol w:w="1192"/>
        <w:gridCol w:w="1079"/>
        <w:gridCol w:w="2620"/>
        <w:gridCol w:w="2010"/>
        <w:gridCol w:w="926"/>
      </w:tblGrid>
      <w:tr w:rsidR="00000000">
        <w:trPr>
          <w:gridAfter w:val="5"/>
          <w:cantSplit/>
          <w:trHeight w:val="276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Стандарты (мл) </w:t>
            </w:r>
          </w:p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 (лет)</w:t>
            </w:r>
          </w:p>
        </w:tc>
      </w:tr>
      <w:tr w:rsidR="00000000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МККЙДЗ/ВОЗ (1997)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Гутекунст</w:t>
            </w:r>
            <w:r>
              <w:rPr>
                <w:color w:val="000000"/>
                <w:sz w:val="24"/>
                <w:szCs w:val="24"/>
              </w:rPr>
              <w:t xml:space="preserve"> (1991-1993)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Пересмотр МККЙДЗ (2001)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девочки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оба пола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девочки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3,8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4,8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5,5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6,4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7,4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8,5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9,9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11,4 </w:t>
            </w:r>
          </w:p>
        </w:tc>
      </w:tr>
    </w:tbl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обращает внимание, что новые возрастные критерии почти совпадают с ещё более старыми нормами Р. Гутекунста</w:t>
      </w:r>
      <w:r>
        <w:rPr>
          <w:color w:val="000000"/>
          <w:sz w:val="24"/>
          <w:szCs w:val="24"/>
        </w:rPr>
        <w:t xml:space="preserve"> [</w:t>
      </w:r>
      <w:hyperlink r:id="rId21" w:anchor="9" w:history="1">
        <w:r>
          <w:rPr>
            <w:rStyle w:val="a4"/>
            <w:sz w:val="24"/>
            <w:szCs w:val="24"/>
          </w:rPr>
          <w:t>9</w:t>
        </w:r>
      </w:hyperlink>
      <w:r>
        <w:rPr>
          <w:color w:val="000000"/>
          <w:sz w:val="24"/>
          <w:szCs w:val="24"/>
        </w:rPr>
        <w:t>] (</w:t>
      </w:r>
      <w:hyperlink r:id="rId22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рис. 1</w:t>
        </w:r>
      </w:hyperlink>
      <w:r>
        <w:rPr>
          <w:color w:val="000000"/>
          <w:sz w:val="24"/>
          <w:szCs w:val="24"/>
        </w:rPr>
        <w:t xml:space="preserve">; </w:t>
      </w:r>
      <w:hyperlink r:id="rId23" w:anchor="tab1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1</w:t>
        </w:r>
      </w:hyperlink>
      <w:r>
        <w:rPr>
          <w:color w:val="000000"/>
          <w:sz w:val="24"/>
          <w:szCs w:val="24"/>
        </w:rPr>
        <w:t>). Как следует из сопоставления кривых 97-й перцентили ТО с возрастом детей (</w:t>
      </w:r>
      <w:hyperlink r:id="rId24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рис. 1</w:t>
        </w:r>
      </w:hyperlink>
      <w:r>
        <w:rPr>
          <w:color w:val="000000"/>
          <w:sz w:val="24"/>
          <w:szCs w:val="24"/>
        </w:rPr>
        <w:t>) и площадью поверхности их тела (</w:t>
      </w:r>
      <w:hyperlink r:id="rId25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рис. 2</w:t>
        </w:r>
      </w:hyperlink>
      <w:r>
        <w:rPr>
          <w:color w:val="000000"/>
          <w:sz w:val="24"/>
          <w:szCs w:val="24"/>
        </w:rPr>
        <w:t xml:space="preserve">; </w:t>
      </w:r>
      <w:hyperlink r:id="rId26" w:anchor="tab2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2</w:t>
        </w:r>
      </w:hyperlink>
      <w:r>
        <w:rPr>
          <w:color w:val="000000"/>
          <w:sz w:val="24"/>
          <w:szCs w:val="24"/>
        </w:rPr>
        <w:t>), количественные критерии нормы по пересмотру 2001 г. дают возможность констатировать у детей формирование зоба на б</w:t>
      </w:r>
      <w:r>
        <w:rPr>
          <w:color w:val="000000"/>
          <w:sz w:val="24"/>
          <w:szCs w:val="24"/>
        </w:rPr>
        <w:t>олее ранней стадии и при существенно меньшем объёме ЩЖ, чем это удавалось ранее — по нормам 1997 г. А в любой йоддефицитной местности это неизбежно повлечёт за собой увеличение доли детей с зобом, позволит констатировать его более высокую распространённост</w:t>
      </w:r>
      <w:r>
        <w:rPr>
          <w:color w:val="000000"/>
          <w:sz w:val="24"/>
          <w:szCs w:val="24"/>
        </w:rPr>
        <w:t>ь и, в конечном счёте, заставит признать зобную эндемию более напряжённой, чем это следовало из анализа предшествовавших сведений по нормативам Деланжа. Такой прогноз мы можем сделать не только с позиций математического ожидания, но и по результатам реальн</w:t>
      </w:r>
      <w:r>
        <w:rPr>
          <w:color w:val="000000"/>
          <w:sz w:val="24"/>
          <w:szCs w:val="24"/>
        </w:rPr>
        <w:t>ого сопоставления данных, полученных нами в Центральном Федеральном Округе России (в Белгородской, Воронежской, Орловской областях [</w:t>
      </w:r>
      <w:hyperlink r:id="rId27" w:anchor="6" w:history="1">
        <w:r>
          <w:rPr>
            <w:rStyle w:val="a4"/>
            <w:sz w:val="24"/>
            <w:szCs w:val="24"/>
          </w:rPr>
          <w:t>6</w:t>
        </w:r>
      </w:hyperlink>
      <w:r>
        <w:rPr>
          <w:color w:val="000000"/>
          <w:sz w:val="24"/>
          <w:szCs w:val="24"/>
        </w:rPr>
        <w:t>] и в Москве [</w:t>
      </w:r>
      <w:hyperlink r:id="rId28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>]) и нашими коллегами в Башкортостане [</w:t>
      </w:r>
      <w:hyperlink r:id="rId29" w:anchor="2" w:history="1"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>]. В выборку мы включили информацию по 18 населённым пунктам, где примерно на 60 тысяча</w:t>
      </w:r>
      <w:r>
        <w:rPr>
          <w:color w:val="000000"/>
          <w:sz w:val="24"/>
          <w:szCs w:val="24"/>
        </w:rPr>
        <w:t xml:space="preserve">х детей 4-15 лет наряду с двойной оценкой частоты увеличения УЗ-объёма ЩЖ (по обеим нормативным шкалам) проводился параллельный анализ эндемических параметров и </w:t>
      </w:r>
      <w:r>
        <w:rPr>
          <w:color w:val="000000"/>
          <w:sz w:val="24"/>
          <w:szCs w:val="24"/>
        </w:rPr>
        <w:lastRenderedPageBreak/>
        <w:t>по другим индикаторам ВОЗ (медианы ренальной экскреции йода, частоты зоба пальпаторно и частоты</w:t>
      </w:r>
      <w:r>
        <w:rPr>
          <w:color w:val="000000"/>
          <w:sz w:val="24"/>
          <w:szCs w:val="24"/>
        </w:rPr>
        <w:t xml:space="preserve"> неонатальной гипертиреотропинемии &gt;5 мЕД/л — в каждом из 18 районов, а также медианы тиреоглобулина — в 8 из них; всего — 62 параметра). Эти сведения иллюстрируются данными, представленными в таблицах </w:t>
      </w:r>
      <w:hyperlink r:id="rId30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 xml:space="preserve"> и </w:t>
      </w:r>
      <w:hyperlink r:id="rId31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 xml:space="preserve">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Стандартные нормативы</w:t>
      </w:r>
      <w:r>
        <w:rPr>
          <w:color w:val="000000"/>
          <w:sz w:val="24"/>
          <w:szCs w:val="24"/>
        </w:rPr>
        <w:t xml:space="preserve"> тиреоидного объёма в зависимости от площади поверхности тела и пола детей (97-перцентиль; по данным УЗИ)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7"/>
        <w:gridCol w:w="1227"/>
        <w:gridCol w:w="1044"/>
        <w:gridCol w:w="2010"/>
        <w:gridCol w:w="926"/>
      </w:tblGrid>
      <w:tr w:rsidR="00000000">
        <w:trPr>
          <w:gridAfter w:val="4"/>
          <w:cantSplit/>
          <w:trHeight w:val="276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Стандарты (мл)</w:t>
            </w:r>
          </w:p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поверхности тела (м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МККЙДЗ/ВОЗ (1997)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Пересмотр МККЙДЗ (2001)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девочки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девочки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3,8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4,2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5,7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6,6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7,6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9,9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11,2 </w:t>
            </w:r>
          </w:p>
        </w:tc>
      </w:tr>
    </w:tbl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нашим данны</w:t>
      </w:r>
      <w:r>
        <w:rPr>
          <w:color w:val="000000"/>
          <w:sz w:val="24"/>
          <w:szCs w:val="24"/>
        </w:rPr>
        <w:t xml:space="preserve">м, ревизия частоты зоба в соответствии с пересмотренной версией нормативов позволяет 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прогнозировать увеличение распространённости зоба у детей РФ </w:t>
      </w:r>
      <w:r>
        <w:rPr>
          <w:color w:val="000000"/>
          <w:sz w:val="24"/>
          <w:szCs w:val="24"/>
        </w:rPr>
        <w:t>почти в 5 раз или на 23% (</w:t>
      </w:r>
      <w:hyperlink r:id="rId32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5</w:t>
        </w:r>
      </w:hyperlink>
      <w:r>
        <w:rPr>
          <w:color w:val="000000"/>
          <w:sz w:val="24"/>
          <w:szCs w:val="24"/>
        </w:rPr>
        <w:t>). То есть практически у каждого четвёртого-пятого ребёнка с начальной стадией увеличения ЩЖ, которая ранее расценивалась как зоб (по Гутекунсту), затем формально интерпретировалась как вариант норм</w:t>
      </w:r>
      <w:r>
        <w:rPr>
          <w:color w:val="000000"/>
          <w:sz w:val="24"/>
          <w:szCs w:val="24"/>
        </w:rPr>
        <w:t>ы (по Деланжу) [</w:t>
      </w:r>
      <w:hyperlink r:id="rId33" w:anchor="5" w:history="1">
        <w:r>
          <w:rPr>
            <w:rStyle w:val="a4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>], ныне вновь следует признать наличие тиромегалии (по МККЙДЗ-2001). При этом окажется, что реальная распространённость зоба будет соответствовать более тяжёлой</w:t>
      </w:r>
      <w:r>
        <w:rPr>
          <w:color w:val="000000"/>
          <w:sz w:val="24"/>
          <w:szCs w:val="24"/>
        </w:rPr>
        <w:t xml:space="preserve"> степени (по классификации ВОЗ 1994 г.), нежели складывалось впечатление при использовании неадекватных норм (</w:t>
      </w:r>
      <w:hyperlink r:id="rId34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5</w:t>
        </w:r>
      </w:hyperlink>
      <w:r>
        <w:rPr>
          <w:color w:val="000000"/>
          <w:sz w:val="24"/>
          <w:szCs w:val="24"/>
        </w:rPr>
        <w:t xml:space="preserve">).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6. Результаты сопоставления оценки тяжести эндемического процесса по частоте зоба с оценками по другим индикаторам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8"/>
        <w:gridCol w:w="2165"/>
        <w:gridCol w:w="2670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Версия нормативов ТО Результат сопоставлений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МККЙДЗ/ВОЗ (1997)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Пересмотр МККЙДЗ (2001)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Эндемия более лёгкая, чем по другим индика</w:t>
            </w:r>
            <w:r>
              <w:rPr>
                <w:color w:val="000000"/>
                <w:sz w:val="24"/>
                <w:szCs w:val="24"/>
              </w:rPr>
              <w:t xml:space="preserve">торам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  <w:r>
              <w:rPr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 xml:space="preserve">5,8% (44/62)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  <w:r>
              <w:rPr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 xml:space="preserve">4,0% (7/62) ***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  <w:r>
              <w:rPr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 xml:space="preserve">5,8% (18/62)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</w:t>
            </w:r>
            <w:r>
              <w:rPr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 xml:space="preserve">6,3% (29/62) *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Эндемия более тяжёлая, чем по другим индикаторам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0% (0/62)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60B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41,9</w:t>
            </w:r>
            <w:r>
              <w:rPr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 xml:space="preserve">6,3% (26/62) *** </w:t>
            </w:r>
          </w:p>
        </w:tc>
      </w:tr>
    </w:tbl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Примечание</w:t>
      </w:r>
      <w:r>
        <w:rPr>
          <w:color w:val="000000"/>
          <w:sz w:val="24"/>
          <w:szCs w:val="24"/>
        </w:rPr>
        <w:t>: звёздочками обозначены показатели, достоверно отличающи</w:t>
      </w:r>
      <w:r>
        <w:rPr>
          <w:color w:val="000000"/>
          <w:sz w:val="24"/>
          <w:szCs w:val="24"/>
        </w:rPr>
        <w:t>еся от оценок по нормативам 1997 г. (* – p&lt;0,04; *** – p&lt;10</w:t>
      </w:r>
      <w:r>
        <w:rPr>
          <w:color w:val="000000"/>
          <w:sz w:val="24"/>
          <w:szCs w:val="24"/>
          <w:vertAlign w:val="superscript"/>
        </w:rPr>
        <w:t>–6</w:t>
      </w:r>
      <w:r>
        <w:rPr>
          <w:color w:val="000000"/>
          <w:sz w:val="24"/>
          <w:szCs w:val="24"/>
        </w:rPr>
        <w:t>).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сопоставление результатов оценки частоты зоба по разным нормативам УЗ-объёма выявило их принципиальные отличия и по отношению к другим индикаторам ВОЗ, характеризующим напряжённост</w:t>
      </w:r>
      <w:r>
        <w:rPr>
          <w:color w:val="000000"/>
          <w:sz w:val="24"/>
          <w:szCs w:val="24"/>
        </w:rPr>
        <w:t>ь эндемического процесса. Можно заключить, что стандарты 1997 г. преимущественно занижают остроту обсуждаемой проблемы здравоохранения — в 71% сопоставлений они указывают на более лёгкую степень эндемии, нежели остальные индикаторы (</w:t>
      </w:r>
      <w:hyperlink r:id="rId35" w:anchor="tab6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6</w:t>
        </w:r>
      </w:hyperlink>
      <w:r>
        <w:rPr>
          <w:color w:val="000000"/>
          <w:sz w:val="24"/>
          <w:szCs w:val="24"/>
        </w:rPr>
        <w:t xml:space="preserve">). В то же время, аналогичные сопоставления сведений, полученных на основании новой версии 2001 г., демонстрируют чаще обратную </w:t>
      </w:r>
      <w:r>
        <w:rPr>
          <w:color w:val="000000"/>
          <w:sz w:val="24"/>
          <w:szCs w:val="24"/>
        </w:rPr>
        <w:t xml:space="preserve">картину: почти в половине случаев зобная эндемия по этим стандартам оказывается тяжелее, чем по иным параметрам. Но при этом общая частота совпадений при оценке ситуации в обследованных регионах оказалась значительно более весомой и явной при нормировании </w:t>
      </w:r>
      <w:r>
        <w:rPr>
          <w:color w:val="000000"/>
          <w:sz w:val="24"/>
          <w:szCs w:val="24"/>
        </w:rPr>
        <w:t>размеров ЩЖ в соответствии с новыми стандартами (</w:t>
      </w:r>
      <w:hyperlink r:id="rId36" w:anchor="tab6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6</w:t>
        </w:r>
      </w:hyperlink>
      <w:r>
        <w:rPr>
          <w:color w:val="000000"/>
          <w:sz w:val="24"/>
          <w:szCs w:val="24"/>
        </w:rPr>
        <w:t xml:space="preserve">).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Обсудим наиболее существенные и спорные вопросы, выт</w:t>
      </w:r>
      <w:r>
        <w:rPr>
          <w:color w:val="000000"/>
          <w:sz w:val="24"/>
          <w:szCs w:val="24"/>
        </w:rPr>
        <w:t xml:space="preserve">екающие из этого для практического здравоохранения — их два. Во-первых, обращает внимание, что в каждом четвёртом случае из нашей выборки (в 4 из 16 районов дефицита йода, 25%; </w:t>
      </w:r>
      <w:hyperlink r:id="rId37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рис. 3</w:t>
        </w:r>
      </w:hyperlink>
      <w:r>
        <w:rPr>
          <w:color w:val="000000"/>
          <w:sz w:val="24"/>
          <w:szCs w:val="24"/>
        </w:rPr>
        <w:t>) и в трети случаев из выборки Ф. Деланжа и соавт. (рис. 6 в работе [</w:t>
      </w:r>
      <w:hyperlink r:id="rId38" w:anchor="7" w:history="1">
        <w:r>
          <w:rPr>
            <w:rStyle w:val="a4"/>
            <w:sz w:val="24"/>
            <w:szCs w:val="24"/>
          </w:rPr>
          <w:t>7</w:t>
        </w:r>
      </w:hyperlink>
      <w:r>
        <w:rPr>
          <w:color w:val="000000"/>
          <w:sz w:val="24"/>
          <w:szCs w:val="24"/>
        </w:rPr>
        <w:t>]) нормативы ЩЖ 1997 г. заставляют констатирова</w:t>
      </w:r>
      <w:r>
        <w:rPr>
          <w:color w:val="000000"/>
          <w:sz w:val="24"/>
          <w:szCs w:val="24"/>
        </w:rPr>
        <w:t>ть отсутствие зобной эндемии в местности, где имеется лёгкая и даже среднетяжёлая недостаточность йода. Это противоречит логике представлений о проявлениях и последствиях дефицита данного микроэлемента на ЩЖ. Этому невозможно дать убедительное толкование с</w:t>
      </w:r>
      <w:r>
        <w:rPr>
          <w:color w:val="000000"/>
          <w:sz w:val="24"/>
          <w:szCs w:val="24"/>
        </w:rPr>
        <w:t xml:space="preserve"> современных позиций научного опыта.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переоценка по пересмотренным нормативам 2001 г. приводит к необходимости признать не только более тяжёлое течение эндемического процесса в тех же районах дефицита йода, но и наличие зобной эндемии даже в ряд</w:t>
      </w:r>
      <w:r>
        <w:rPr>
          <w:color w:val="000000"/>
          <w:sz w:val="24"/>
          <w:szCs w:val="24"/>
        </w:rPr>
        <w:t>е йодобеспеченных регионов (оба района в нашей выборке (</w:t>
      </w:r>
      <w:hyperlink r:id="rId39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табл. 5</w:t>
        </w:r>
      </w:hyperlink>
      <w:r>
        <w:rPr>
          <w:color w:val="000000"/>
          <w:sz w:val="24"/>
          <w:szCs w:val="24"/>
        </w:rPr>
        <w:t xml:space="preserve"> и </w:t>
      </w:r>
      <w:hyperlink r:id="rId40" w:tgtFrame="_blank" w:tooltip="Нажмите на ссылку, чтобы увидеть иллюстрацию" w:history="1">
        <w:r>
          <w:rPr>
            <w:rStyle w:val="a4"/>
            <w:sz w:val="24"/>
            <w:szCs w:val="24"/>
          </w:rPr>
          <w:t>рис. 3</w:t>
        </w:r>
      </w:hyperlink>
      <w:r>
        <w:rPr>
          <w:color w:val="000000"/>
          <w:sz w:val="24"/>
          <w:szCs w:val="24"/>
        </w:rPr>
        <w:t>) и в 8% случаев в выборке Деланжа ([</w:t>
      </w:r>
      <w:hyperlink r:id="rId41" w:anchor="7" w:history="1">
        <w:r>
          <w:rPr>
            <w:rStyle w:val="a4"/>
            <w:sz w:val="24"/>
            <w:szCs w:val="24"/>
          </w:rPr>
          <w:t>7</w:t>
        </w:r>
      </w:hyperlink>
      <w:r>
        <w:rPr>
          <w:color w:val="000000"/>
          <w:sz w:val="24"/>
          <w:szCs w:val="24"/>
        </w:rPr>
        <w:t>] — рис. 6). Нам представляется, что это несоответствие</w:t>
      </w:r>
      <w:r>
        <w:rPr>
          <w:color w:val="000000"/>
          <w:sz w:val="24"/>
          <w:szCs w:val="24"/>
        </w:rPr>
        <w:t xml:space="preserve"> отражает потенциальное участие наряду с йодной недостаточностью и других факторов внешней среды, оказывающих на ЩЖ детей дополнительный струмогенный эффект</w:t>
      </w:r>
      <w:hyperlink r:id="rId42" w:anchor="bbb" w:tooltip=" Касаткина Э.П. Диффузный нетоксический зоб: Вопросы классификации и терминологии. // Пробл. эндокринол. – 2001. – Т. 47. – №4. – С. 3-6." w:history="1">
        <w:r>
          <w:rPr>
            <w:rStyle w:val="a4"/>
            <w:sz w:val="24"/>
            <w:szCs w:val="24"/>
            <w:vertAlign w:val="superscript"/>
          </w:rPr>
          <w:t>2</w:t>
        </w:r>
      </w:hyperlink>
      <w:r>
        <w:rPr>
          <w:color w:val="000000"/>
          <w:sz w:val="24"/>
          <w:szCs w:val="24"/>
        </w:rPr>
        <w:t xml:space="preserve">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представленные данные позволяют признать более адекватными для использования на территориях РФ критерии ТО согласно нов</w:t>
      </w:r>
      <w:r>
        <w:rPr>
          <w:color w:val="000000"/>
          <w:sz w:val="24"/>
          <w:szCs w:val="24"/>
        </w:rPr>
        <w:t>ой версии МККЙДЗ (2001 г.) [</w:t>
      </w:r>
      <w:hyperlink r:id="rId43" w:anchor="1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>]. По нашему мнению, активная работа, начатая в соответствии с Консенсусом 1999 года («Эндемический зоб у детей: терминология, диагностика, профил</w:t>
      </w:r>
      <w:r>
        <w:rPr>
          <w:color w:val="000000"/>
          <w:sz w:val="24"/>
          <w:szCs w:val="24"/>
        </w:rPr>
        <w:t>актика и лечение»), должна быть продолжена на федеральном и местных уровнях с учётом стандартизации подходов к УЗ-диагностике зоба у детей. Более того, обсуждаемая версия новейших рекомендаций по нормативам ТО была представлена и всесторонне обсуждена на В</w:t>
      </w:r>
      <w:r>
        <w:rPr>
          <w:color w:val="000000"/>
          <w:sz w:val="24"/>
          <w:szCs w:val="24"/>
        </w:rPr>
        <w:t>сероссийской конференции детских эндокринологов (7 июня 2002 г., Москва), где получила одобрение, поддержку и официальное признание в итоговой резолюции. И, наконец, именно эти стандарты легли в основу «Клинических рекомендаций Российской Ассоциации Эндокр</w:t>
      </w:r>
      <w:r>
        <w:rPr>
          <w:color w:val="000000"/>
          <w:sz w:val="24"/>
          <w:szCs w:val="24"/>
        </w:rPr>
        <w:t>инологов по диагностике и лечению аутоиммунного тиреоидита у детей», принятых полгода спустя на 2 Всероссийском тиреоидологическом конгрессе (20 ноября 2002 г., Москва) [</w:t>
      </w:r>
      <w:hyperlink r:id="rId44" w:anchor="2" w:history="1"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A60B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</w:t>
      </w:r>
      <w:r>
        <w:rPr>
          <w:b/>
          <w:bCs/>
          <w:color w:val="000000"/>
          <w:sz w:val="28"/>
          <w:szCs w:val="28"/>
        </w:rPr>
        <w:t>исок литературы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Малиевский О.А. Диффузный нетоксический зоб у детей в республике Башкортостан: распространённость, структура, лечение, профилактика. Автореф. дисс. … докт. мед. наук. Уфа, 2001. 41 с.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Касаткина Э.П., Мартынова М.И., Петеркова В.А., Самсоно</w:t>
      </w:r>
      <w:r>
        <w:rPr>
          <w:color w:val="000000"/>
          <w:sz w:val="24"/>
          <w:szCs w:val="24"/>
        </w:rPr>
        <w:t xml:space="preserve">ва Л.Н., Сапёлкина Л.В., Семичева Т.В., Шилин Д.Е. КЛИНИЧЕСКИЕ РЕКОМЕНДАЦИИ РОССИЙСКОЙ АССОЦИАЦИИ ЭНДОКРИНОЛОГОВ ПО ДИАГНОСТИКЕ И ЛЕЧЕНИЮ АУТОИММУННОГО ТИРЕОИДИТА У ДЕТЕЙ. // Тиронет (ThyroNet). — 2002. </w:t>
      </w:r>
      <w:r>
        <w:rPr>
          <w:color w:val="000000"/>
          <w:sz w:val="24"/>
          <w:szCs w:val="24"/>
          <w:lang w:val="en-US"/>
        </w:rPr>
        <w:t>[</w:t>
      </w:r>
      <w:hyperlink r:id="rId45" w:history="1">
        <w:r>
          <w:rPr>
            <w:rStyle w:val="a4"/>
            <w:sz w:val="24"/>
            <w:szCs w:val="24"/>
            <w:lang w:val="en-US"/>
          </w:rPr>
          <w:t>thyronet.rusmedserv.com/th_spec/recomend2.htm</w:t>
        </w:r>
      </w:hyperlink>
      <w:r>
        <w:rPr>
          <w:color w:val="000000"/>
          <w:sz w:val="24"/>
          <w:szCs w:val="24"/>
          <w:lang w:val="en-US"/>
        </w:rPr>
        <w:t xml:space="preserve">].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Окминян Г.Ф., Самсонова Л.Н., Пыков М.И. и др. Эффективность профилактики йодной недостаточности в г. Москве на примере Юго-Западного административного округа. // Пробл. эндокринол. — 2002. </w:t>
      </w:r>
      <w:r>
        <w:rPr>
          <w:color w:val="000000"/>
          <w:sz w:val="24"/>
          <w:szCs w:val="24"/>
        </w:rPr>
        <w:t xml:space="preserve">— Т. 48. — № 4 (в печати).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Свинарёв М.Ю. Нормативы тиреоидного объёма у детей: в поисках истины. // Тиронет. — 2001. — № 2. </w:t>
      </w:r>
      <w:r>
        <w:rPr>
          <w:color w:val="000000"/>
          <w:sz w:val="24"/>
          <w:szCs w:val="24"/>
          <w:lang w:val="en-US"/>
        </w:rPr>
        <w:t>[</w:t>
      </w:r>
      <w:hyperlink r:id="rId46" w:history="1">
        <w:r>
          <w:rPr>
            <w:rStyle w:val="a4"/>
            <w:sz w:val="24"/>
            <w:szCs w:val="24"/>
            <w:lang w:val="en-US"/>
          </w:rPr>
          <w:t>thyronet.rusmedserv.com/th_spec/thyr-2-01-4.htm</w:t>
        </w:r>
      </w:hyperlink>
      <w:r>
        <w:rPr>
          <w:color w:val="000000"/>
          <w:sz w:val="24"/>
          <w:szCs w:val="24"/>
          <w:lang w:val="en-US"/>
        </w:rPr>
        <w:t xml:space="preserve">].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Шилин Д.</w:t>
      </w:r>
      <w:r>
        <w:rPr>
          <w:color w:val="000000"/>
          <w:sz w:val="24"/>
          <w:szCs w:val="24"/>
        </w:rPr>
        <w:t>Е. К ВОПРОСУ О ВНЕДРЕНИИ МЕЖДУНАРОДНЫХ НОРМАТИВОВ УЛЬТРАЗВУКОВОГО ОБЪЁМА ЩИТОВИДНОЙ ЖЕЛЕЗЫ (ВОЗ, 1997) В ПЕДИАТРИЧЕСКУЮ практику. // Тиронет. — 2000. — № 3 (май-июнь). [</w:t>
      </w:r>
      <w:hyperlink r:id="rId47" w:history="1">
        <w:r>
          <w:rPr>
            <w:rStyle w:val="a4"/>
            <w:sz w:val="24"/>
            <w:szCs w:val="24"/>
          </w:rPr>
          <w:t>www.thyronet.rusmeds</w:t>
        </w:r>
        <w:r>
          <w:rPr>
            <w:rStyle w:val="a4"/>
            <w:sz w:val="24"/>
            <w:szCs w:val="24"/>
          </w:rPr>
          <w:t>erv.com/doct/thyr-3-5.httm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Шилин Д.Е. Заболевания щитовидной железы у детей и подростков в условиях йодной недостаточности и радиационного загрязнения среды. Дисс. … докт. мед. наук. М</w:t>
      </w:r>
      <w:r>
        <w:rPr>
          <w:color w:val="000000"/>
          <w:sz w:val="24"/>
          <w:szCs w:val="24"/>
          <w:lang w:val="en-US"/>
        </w:rPr>
        <w:t xml:space="preserve">., 2002. 358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Delange F., Benker G., Caron Ph. et al. Thyroid volume and urinary iodine in European schoolchildren: standardization of values for assessment of iodine deficiency. // Eur. J. Endocrinol. — 1997. — V. 136. — N6. — P. 180-187.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Foo L.C., Zulfiqar A., Nafiku</w:t>
      </w:r>
      <w:r>
        <w:rPr>
          <w:color w:val="000000"/>
          <w:sz w:val="24"/>
          <w:szCs w:val="24"/>
          <w:lang w:val="en-US"/>
        </w:rPr>
        <w:t xml:space="preserve">din M. et al. Local versus WHO/International Council for Control of Iodine Deficiency Disorders-recommended thyroid volume reference in the assessment of iodine deficiency disorders. // Eur. J. Endocrinol. — 1999. — V. 140. — N6. — P. 491-497.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Gutekunst R</w:t>
      </w:r>
      <w:r>
        <w:rPr>
          <w:color w:val="000000"/>
          <w:sz w:val="24"/>
          <w:szCs w:val="24"/>
          <w:lang w:val="en-US"/>
        </w:rPr>
        <w:t xml:space="preserve">., Martin-Teichert H. Requirements for goiter surveys and the determination of thyroid size. // Iodine deficiency in Europe: A containing concern / Ed. by Delange F., Dunn J.T., Glinoer D. New York: Plenum Press, 1993. P. 109-118.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Rendl J., Juhran N., Rei</w:t>
      </w:r>
      <w:r>
        <w:rPr>
          <w:color w:val="000000"/>
          <w:sz w:val="24"/>
          <w:szCs w:val="24"/>
          <w:lang w:val="en-US"/>
        </w:rPr>
        <w:t xml:space="preserve">ners C. Thyroid volumes and urinary iodine in German school children. // Exp. Clin. Endocrinol. Diabetes. — 2001. — Vol. 109. — P. 8-12.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Xu F., Sullivan K., Houston R. et al. Thyroid volumes in US and Bangladeshi schoolchildren: comparison with European s</w:t>
      </w:r>
      <w:r>
        <w:rPr>
          <w:color w:val="000000"/>
          <w:sz w:val="24"/>
          <w:szCs w:val="24"/>
          <w:lang w:val="en-US"/>
        </w:rPr>
        <w:t xml:space="preserve">choolchildren. // Eur. J. Endocrinol. — 1999. — V. 140. — N6. — P. 498-504. </w:t>
      </w:r>
    </w:p>
    <w:p w:rsidR="00000000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Zimmermann M.B., Molinari L., Spehl M. et al. Toward a consensus on reference values for thyroid volume in iodine-replete schoolchildren: results of workshop on inter-observer and</w:t>
      </w:r>
      <w:r>
        <w:rPr>
          <w:color w:val="000000"/>
          <w:sz w:val="24"/>
          <w:szCs w:val="24"/>
          <w:lang w:val="en-US"/>
        </w:rPr>
        <w:t xml:space="preserve"> inter-equipment variation in sonographic measurement of thyroid volume. // Eur. J. Endocrinol. — 2001. — V. 144. — N 3. — P. 213-220. </w:t>
      </w:r>
    </w:p>
    <w:p w:rsidR="00A60B1A" w:rsidRDefault="00A60B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Zimmermann M.B., Molinari L., Spehl M., Weidinger-Toth J., Podoba J., Hess S., Delange F. Updated Provisional WHO/ICCIDD</w:t>
      </w:r>
      <w:r>
        <w:rPr>
          <w:color w:val="000000"/>
          <w:sz w:val="24"/>
          <w:szCs w:val="24"/>
          <w:lang w:val="en-US"/>
        </w:rPr>
        <w:t xml:space="preserve"> Reference Values for Sonographic Thyroid Volume in Iodine-Replete School-age Children. // IDD Newsletter. — 2001. — Vol. 17. — N1. — P. 12. </w:t>
      </w:r>
    </w:p>
    <w:sectPr w:rsidR="00A60B1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E3"/>
    <w:rsid w:val="00A60B1A"/>
    <w:rsid w:val="00E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yronet.rusmedserv.com/th_spec/thyr-4-03-2.html" TargetMode="External"/><Relationship Id="rId18" Type="http://schemas.openxmlformats.org/officeDocument/2006/relationships/hyperlink" Target="http://thyronet.rusmedserv.com/imgz/thyr-4-03-2-t1.swf" TargetMode="External"/><Relationship Id="rId26" Type="http://schemas.openxmlformats.org/officeDocument/2006/relationships/hyperlink" Target="http://thyronet.rusmedserv.com/th_spec/thyr-4-03-2.html" TargetMode="External"/><Relationship Id="rId39" Type="http://schemas.openxmlformats.org/officeDocument/2006/relationships/hyperlink" Target="http://thyronet.rusmedserv.com/imgz/thyr-4-03-2-tab5.gi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hyronet.rusmedserv.com/th_spec/thyr-4-03-2.html" TargetMode="External"/><Relationship Id="rId34" Type="http://schemas.openxmlformats.org/officeDocument/2006/relationships/hyperlink" Target="http://thyronet.rusmedserv.com/imgz/thyr-4-03-2-tab5.gif" TargetMode="External"/><Relationship Id="rId42" Type="http://schemas.openxmlformats.org/officeDocument/2006/relationships/hyperlink" Target="http://thyronet.rusmedserv.com/th_spec/thyr-4-03-2.html" TargetMode="External"/><Relationship Id="rId47" Type="http://schemas.openxmlformats.org/officeDocument/2006/relationships/hyperlink" Target="http://www.thyronet.rusmedserv.com/doct/thyr-3-5.httm" TargetMode="External"/><Relationship Id="rId7" Type="http://schemas.openxmlformats.org/officeDocument/2006/relationships/hyperlink" Target="http://thyronet.rusmedserv.com/th_spec/thyr-4-03-2.html" TargetMode="External"/><Relationship Id="rId12" Type="http://schemas.openxmlformats.org/officeDocument/2006/relationships/hyperlink" Target="http://thyronet.rusmedserv.com/th_spec/thyr-4-03-2.html" TargetMode="External"/><Relationship Id="rId17" Type="http://schemas.openxmlformats.org/officeDocument/2006/relationships/hyperlink" Target="http://thyronet.rusmedserv.com/imgz/thyr-4-03-2-t1.swf" TargetMode="External"/><Relationship Id="rId25" Type="http://schemas.openxmlformats.org/officeDocument/2006/relationships/hyperlink" Target="http://thyronet.rusmedserv.com/imgz/thyr-4-03-2-r2.swf" TargetMode="External"/><Relationship Id="rId33" Type="http://schemas.openxmlformats.org/officeDocument/2006/relationships/hyperlink" Target="http://thyronet.rusmedserv.com/th_spec/thyr-4-03-2.html" TargetMode="External"/><Relationship Id="rId38" Type="http://schemas.openxmlformats.org/officeDocument/2006/relationships/hyperlink" Target="http://thyronet.rusmedserv.com/th_spec/thyr-4-03-2.html" TargetMode="External"/><Relationship Id="rId46" Type="http://schemas.openxmlformats.org/officeDocument/2006/relationships/hyperlink" Target="http://thyronet.rusmedserv.com/th_spec/thyr-2-01-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cidd.org/" TargetMode="External"/><Relationship Id="rId20" Type="http://schemas.openxmlformats.org/officeDocument/2006/relationships/hyperlink" Target="http://thyronet.rusmedserv.com/th_spec/thyr-4-03-2.html" TargetMode="External"/><Relationship Id="rId29" Type="http://schemas.openxmlformats.org/officeDocument/2006/relationships/hyperlink" Target="http://thyronet.rusmedserv.com/th_spec/thyr-4-03-2.html" TargetMode="External"/><Relationship Id="rId41" Type="http://schemas.openxmlformats.org/officeDocument/2006/relationships/hyperlink" Target="http://thyronet.rusmedserv.com/th_spec/thyr-4-03-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yronet.rusmedserv.com/th_spec/thyr-4-03-2.html" TargetMode="External"/><Relationship Id="rId11" Type="http://schemas.openxmlformats.org/officeDocument/2006/relationships/hyperlink" Target="http://thyronet.rusmedserv.com/th_spec/thyr-4-03-2.html" TargetMode="External"/><Relationship Id="rId24" Type="http://schemas.openxmlformats.org/officeDocument/2006/relationships/hyperlink" Target="http://thyronet.rusmedserv.com/imgz/thyr-4-03-2-r1.swf" TargetMode="External"/><Relationship Id="rId32" Type="http://schemas.openxmlformats.org/officeDocument/2006/relationships/hyperlink" Target="http://thyronet.rusmedserv.com/imgz/thyr-4-03-2-tab5.gif" TargetMode="External"/><Relationship Id="rId37" Type="http://schemas.openxmlformats.org/officeDocument/2006/relationships/hyperlink" Target="http://thyronet.rusmedserv.com/imgz/thyr-4-03-2-r3.swf" TargetMode="External"/><Relationship Id="rId40" Type="http://schemas.openxmlformats.org/officeDocument/2006/relationships/hyperlink" Target="http://thyronet.rusmedserv.com/imgz/thyr-4-03-2-r3.swf" TargetMode="External"/><Relationship Id="rId45" Type="http://schemas.openxmlformats.org/officeDocument/2006/relationships/hyperlink" Target="http://thyronet.rusmedserv.com/th_spec/recomend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yronet.rusmedserv.com/th_spec/thyr-4-03-2.html" TargetMode="External"/><Relationship Id="rId23" Type="http://schemas.openxmlformats.org/officeDocument/2006/relationships/hyperlink" Target="http://thyronet.rusmedserv.com/th_spec/thyr-4-03-2.html" TargetMode="External"/><Relationship Id="rId28" Type="http://schemas.openxmlformats.org/officeDocument/2006/relationships/hyperlink" Target="http://thyronet.rusmedserv.com/th_spec/thyr-4-03-2.html" TargetMode="External"/><Relationship Id="rId36" Type="http://schemas.openxmlformats.org/officeDocument/2006/relationships/hyperlink" Target="http://thyronet.rusmedserv.com/th_spec/thyr-4-03-2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hyronet.rusmedserv.com/th_spec/thyr-4-03-2.html" TargetMode="External"/><Relationship Id="rId19" Type="http://schemas.openxmlformats.org/officeDocument/2006/relationships/hyperlink" Target="http://thyronet.rusmedserv.com/th_spec/thyr-4-03-2.html" TargetMode="External"/><Relationship Id="rId31" Type="http://schemas.openxmlformats.org/officeDocument/2006/relationships/hyperlink" Target="http://thyronet.rusmedserv.com/imgz/thyr-4-03-2-tab4.gif" TargetMode="External"/><Relationship Id="rId44" Type="http://schemas.openxmlformats.org/officeDocument/2006/relationships/hyperlink" Target="http://thyronet.rusmedserv.com/th_spec/thyr-4-03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yronet.rusmedserv.com/th_spec/thyr-4-03-2.html" TargetMode="External"/><Relationship Id="rId14" Type="http://schemas.openxmlformats.org/officeDocument/2006/relationships/hyperlink" Target="http://thyronet.rusmedserv.com/th_spec/thyr-4-03-2.html" TargetMode="External"/><Relationship Id="rId22" Type="http://schemas.openxmlformats.org/officeDocument/2006/relationships/hyperlink" Target="http://thyronet.rusmedserv.com/imgz/thyr-4-03-2-r1.swf" TargetMode="External"/><Relationship Id="rId27" Type="http://schemas.openxmlformats.org/officeDocument/2006/relationships/hyperlink" Target="http://thyronet.rusmedserv.com/th_spec/thyr-4-03-2.html" TargetMode="External"/><Relationship Id="rId30" Type="http://schemas.openxmlformats.org/officeDocument/2006/relationships/hyperlink" Target="http://thyronet.rusmedserv.com/imgz/thyr-4-03-2-tab3.gif" TargetMode="External"/><Relationship Id="rId35" Type="http://schemas.openxmlformats.org/officeDocument/2006/relationships/hyperlink" Target="http://thyronet.rusmedserv.com/th_spec/thyr-4-03-2.html" TargetMode="External"/><Relationship Id="rId43" Type="http://schemas.openxmlformats.org/officeDocument/2006/relationships/hyperlink" Target="http://thyronet.rusmedserv.com/th_spec/thyr-4-03-2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hyronet.rusmedserv.com/th_spec/thyr-4-03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3478</Words>
  <Characters>19828</Characters>
  <Application>Microsoft Office Word</Application>
  <DocSecurity>0</DocSecurity>
  <Lines>165</Lines>
  <Paragraphs>46</Paragraphs>
  <ScaleCrop>false</ScaleCrop>
  <Company>PERSONAL COMPUTERS</Company>
  <LinksUpToDate>false</LinksUpToDate>
  <CharactersWithSpaces>23260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рекомендации по стандартам ультразвуковой оценки объема щитовидной</dc:title>
  <dc:creator>USER</dc:creator>
  <cp:lastModifiedBy>Igor</cp:lastModifiedBy>
  <cp:revision>2</cp:revision>
  <dcterms:created xsi:type="dcterms:W3CDTF">2024-07-23T08:01:00Z</dcterms:created>
  <dcterms:modified xsi:type="dcterms:W3CDTF">2024-07-23T08:01:00Z</dcterms:modified>
</cp:coreProperties>
</file>