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0552">
      <w:pPr>
        <w:pStyle w:val="a4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>Министерство здравоохранения Украины</w:t>
      </w:r>
    </w:p>
    <w:p w:rsidR="00000000" w:rsidRDefault="00130552">
      <w:pPr>
        <w:pStyle w:val="a3"/>
        <w:spacing w:line="360" w:lineRule="auto"/>
        <w:rPr>
          <w:rFonts w:ascii="Batang" w:eastAsia="Batang" w:hAnsi="Batang"/>
          <w:sz w:val="20"/>
        </w:rPr>
      </w:pPr>
      <w:r>
        <w:rPr>
          <w:rFonts w:ascii="Batang" w:eastAsia="Batang" w:hAnsi="Batang"/>
        </w:rPr>
        <w:t>Днепропетровская государственная медицинская академия</w:t>
      </w:r>
    </w:p>
    <w:p w:rsidR="00000000" w:rsidRDefault="0013055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atang" w:eastAsia="Batang" w:hAnsi="Batang"/>
          <w:color w:val="000000"/>
          <w:sz w:val="34"/>
          <w:szCs w:val="34"/>
        </w:rPr>
      </w:pPr>
    </w:p>
    <w:p w:rsidR="00000000" w:rsidRDefault="00130552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</w:p>
    <w:p w:rsidR="00000000" w:rsidRDefault="00130552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</w:p>
    <w:p w:rsidR="00000000" w:rsidRDefault="00130552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</w:p>
    <w:p w:rsidR="00000000" w:rsidRDefault="0013055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  <w:r>
        <w:rPr>
          <w:color w:val="000000"/>
          <w:sz w:val="36"/>
          <w:szCs w:val="34"/>
        </w:rPr>
        <w:t>Реферат на тему</w:t>
      </w:r>
      <w:r>
        <w:rPr>
          <w:color w:val="000000"/>
          <w:sz w:val="34"/>
          <w:szCs w:val="34"/>
        </w:rPr>
        <w:t>:</w:t>
      </w:r>
    </w:p>
    <w:p w:rsidR="00000000" w:rsidRDefault="0013055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</w:p>
    <w:p w:rsidR="00000000" w:rsidRDefault="0013055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</w:p>
    <w:p w:rsidR="00000000" w:rsidRDefault="0013055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</w:p>
    <w:p w:rsidR="00000000" w:rsidRDefault="0013055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</w:p>
    <w:p w:rsidR="00000000" w:rsidRDefault="0013055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000000" w:rsidRDefault="00130552">
      <w:pPr>
        <w:pStyle w:val="20"/>
        <w:rPr>
          <w:rFonts w:ascii="Times New Roman" w:hAnsi="Times New Roman" w:cs="Times New Roman"/>
          <w:caps/>
          <w:sz w:val="46"/>
        </w:rPr>
      </w:pPr>
      <w:r>
        <w:rPr>
          <w:rFonts w:ascii="Times New Roman" w:hAnsi="Times New Roman" w:cs="Times New Roman"/>
          <w:caps/>
          <w:sz w:val="46"/>
        </w:rPr>
        <w:t>"Современные взгляды на этиологию, патогенез и диагностику гепатитов</w:t>
      </w:r>
    </w:p>
    <w:p w:rsidR="00000000" w:rsidRDefault="00130552">
      <w:pPr>
        <w:shd w:val="clear" w:color="auto" w:fill="FFFFFF"/>
        <w:autoSpaceDE w:val="0"/>
        <w:autoSpaceDN w:val="0"/>
        <w:adjustRightInd w:val="0"/>
        <w:ind w:left="7080" w:firstLine="708"/>
        <w:rPr>
          <w:color w:val="000000"/>
          <w:sz w:val="34"/>
          <w:szCs w:val="34"/>
        </w:rPr>
      </w:pPr>
    </w:p>
    <w:p w:rsidR="00000000" w:rsidRDefault="00130552">
      <w:pPr>
        <w:shd w:val="clear" w:color="auto" w:fill="FFFFFF"/>
        <w:autoSpaceDE w:val="0"/>
        <w:autoSpaceDN w:val="0"/>
        <w:adjustRightInd w:val="0"/>
        <w:ind w:left="7080" w:firstLine="708"/>
        <w:rPr>
          <w:color w:val="000000"/>
          <w:sz w:val="34"/>
          <w:szCs w:val="34"/>
        </w:rPr>
      </w:pPr>
    </w:p>
    <w:p w:rsidR="00000000" w:rsidRDefault="00130552">
      <w:pPr>
        <w:pStyle w:val="a5"/>
      </w:pPr>
    </w:p>
    <w:p w:rsidR="00000000" w:rsidRDefault="00130552">
      <w:pPr>
        <w:pStyle w:val="a5"/>
      </w:pPr>
    </w:p>
    <w:p w:rsidR="00000000" w:rsidRDefault="00130552">
      <w:pPr>
        <w:pStyle w:val="a5"/>
        <w:rPr>
          <w:sz w:val="20"/>
        </w:rPr>
      </w:pPr>
      <w:r>
        <w:rPr>
          <w:i/>
          <w:iCs/>
        </w:rPr>
        <w:t>Выполнил</w:t>
      </w:r>
      <w:r>
        <w:t>: студент 6 курса, 2-го мед. ф-та, 6 десятка Сухачев В.А.</w:t>
      </w:r>
    </w:p>
    <w:p w:rsidR="00000000" w:rsidRDefault="00130552">
      <w:pPr>
        <w:jc w:val="center"/>
        <w:rPr>
          <w:color w:val="000000"/>
          <w:sz w:val="34"/>
          <w:szCs w:val="34"/>
        </w:rPr>
      </w:pPr>
    </w:p>
    <w:p w:rsidR="00000000" w:rsidRDefault="00130552">
      <w:pPr>
        <w:jc w:val="center"/>
        <w:rPr>
          <w:color w:val="000000"/>
          <w:sz w:val="34"/>
          <w:szCs w:val="34"/>
        </w:rPr>
      </w:pPr>
    </w:p>
    <w:p w:rsidR="00000000" w:rsidRDefault="00130552">
      <w:pPr>
        <w:jc w:val="center"/>
        <w:rPr>
          <w:color w:val="000000"/>
          <w:sz w:val="34"/>
          <w:szCs w:val="34"/>
        </w:rPr>
      </w:pPr>
    </w:p>
    <w:p w:rsidR="00000000" w:rsidRDefault="00130552">
      <w:pPr>
        <w:jc w:val="center"/>
        <w:rPr>
          <w:color w:val="000000"/>
          <w:sz w:val="34"/>
          <w:szCs w:val="34"/>
        </w:rPr>
      </w:pPr>
    </w:p>
    <w:p w:rsidR="00000000" w:rsidRDefault="00130552">
      <w:pPr>
        <w:jc w:val="center"/>
        <w:rPr>
          <w:color w:val="000000"/>
          <w:sz w:val="34"/>
          <w:szCs w:val="34"/>
        </w:rPr>
      </w:pPr>
    </w:p>
    <w:p w:rsidR="00000000" w:rsidRDefault="00130552">
      <w:pPr>
        <w:jc w:val="center"/>
        <w:rPr>
          <w:color w:val="000000"/>
          <w:sz w:val="34"/>
          <w:szCs w:val="34"/>
        </w:rPr>
      </w:pPr>
    </w:p>
    <w:p w:rsidR="00000000" w:rsidRDefault="00130552">
      <w:pPr>
        <w:jc w:val="center"/>
        <w:rPr>
          <w:color w:val="000000"/>
          <w:sz w:val="34"/>
          <w:szCs w:val="34"/>
        </w:rPr>
      </w:pPr>
    </w:p>
    <w:p w:rsidR="00000000" w:rsidRDefault="00130552">
      <w:pPr>
        <w:jc w:val="center"/>
        <w:rPr>
          <w:color w:val="000000"/>
          <w:sz w:val="34"/>
          <w:szCs w:val="34"/>
        </w:rPr>
      </w:pPr>
    </w:p>
    <w:p w:rsidR="00000000" w:rsidRDefault="00130552">
      <w:pPr>
        <w:jc w:val="center"/>
        <w:rPr>
          <w:color w:val="000000"/>
          <w:sz w:val="34"/>
          <w:szCs w:val="34"/>
        </w:rPr>
      </w:pPr>
    </w:p>
    <w:p w:rsidR="00000000" w:rsidRDefault="00130552">
      <w:pPr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lastRenderedPageBreak/>
        <w:t xml:space="preserve">Днепропетровск </w:t>
      </w:r>
    </w:p>
    <w:p w:rsidR="00000000" w:rsidRDefault="00130552">
      <w:pPr>
        <w:jc w:val="center"/>
      </w:pPr>
      <w:r>
        <w:rPr>
          <w:color w:val="000000"/>
          <w:sz w:val="34"/>
          <w:szCs w:val="34"/>
        </w:rPr>
        <w:t>2002</w:t>
      </w:r>
    </w:p>
    <w:p w:rsidR="00000000" w:rsidRDefault="00130552">
      <w:pPr>
        <w:shd w:val="clear" w:color="auto" w:fill="FFFFFF"/>
        <w:autoSpaceDE w:val="0"/>
        <w:autoSpaceDN w:val="0"/>
        <w:adjustRightInd w:val="0"/>
        <w:spacing w:line="480" w:lineRule="auto"/>
        <w:ind w:left="708" w:hanging="708"/>
        <w:jc w:val="center"/>
      </w:pPr>
      <w:r>
        <w:rPr>
          <w:caps/>
          <w:color w:val="000000"/>
          <w:spacing w:val="400"/>
          <w:szCs w:val="29"/>
        </w:rPr>
        <w:t>План</w:t>
      </w:r>
      <w:r>
        <w:rPr>
          <w:color w:val="000000"/>
          <w:szCs w:val="29"/>
        </w:rPr>
        <w:t>:</w:t>
      </w:r>
    </w:p>
    <w:p w:rsidR="00000000" w:rsidRDefault="00130552">
      <w:pPr>
        <w:shd w:val="clear" w:color="auto" w:fill="FFFFFF"/>
        <w:autoSpaceDE w:val="0"/>
        <w:autoSpaceDN w:val="0"/>
        <w:adjustRightInd w:val="0"/>
        <w:spacing w:line="480" w:lineRule="auto"/>
        <w:ind w:left="1200" w:hanging="300"/>
      </w:pPr>
      <w:r>
        <w:rPr>
          <w:color w:val="000000"/>
          <w:szCs w:val="29"/>
        </w:rPr>
        <w:t>1. Классификация хронических заболеваний печени.</w:t>
      </w:r>
    </w:p>
    <w:p w:rsidR="00000000" w:rsidRDefault="00130552">
      <w:pPr>
        <w:shd w:val="clear" w:color="auto" w:fill="FFFFFF"/>
        <w:autoSpaceDE w:val="0"/>
        <w:autoSpaceDN w:val="0"/>
        <w:adjustRightInd w:val="0"/>
        <w:spacing w:line="480" w:lineRule="auto"/>
        <w:ind w:left="1200" w:hanging="300"/>
      </w:pPr>
      <w:r>
        <w:rPr>
          <w:color w:val="000000"/>
          <w:szCs w:val="29"/>
        </w:rPr>
        <w:t>2. Клинические проявления, особенности течения хронических штатов в зависимости от этиологии.</w:t>
      </w:r>
    </w:p>
    <w:p w:rsidR="00000000" w:rsidRDefault="00130552">
      <w:pPr>
        <w:shd w:val="clear" w:color="auto" w:fill="FFFFFF"/>
        <w:autoSpaceDE w:val="0"/>
        <w:autoSpaceDN w:val="0"/>
        <w:adjustRightInd w:val="0"/>
        <w:spacing w:line="480" w:lineRule="auto"/>
        <w:ind w:left="1200" w:hanging="300"/>
      </w:pPr>
      <w:r>
        <w:rPr>
          <w:color w:val="000000"/>
          <w:szCs w:val="29"/>
        </w:rPr>
        <w:t>3. Дифференциальная диагностика невирусных и не аутоиммунных болезней печени.</w:t>
      </w:r>
    </w:p>
    <w:p w:rsidR="00000000" w:rsidRDefault="00130552">
      <w:pPr>
        <w:pStyle w:val="21"/>
      </w:pPr>
      <w:r>
        <w:t>4. Осложнения хронических гепатитов. Печеночная энцефалопатия, портальная гипертензия, цирроз печени.</w:t>
      </w:r>
    </w:p>
    <w:p w:rsidR="00000000" w:rsidRDefault="00130552">
      <w:pPr>
        <w:spacing w:line="480" w:lineRule="auto"/>
        <w:ind w:left="1200" w:hanging="300"/>
        <w:rPr>
          <w:color w:val="000000"/>
          <w:szCs w:val="29"/>
        </w:rPr>
      </w:pPr>
      <w:r>
        <w:rPr>
          <w:color w:val="000000"/>
          <w:szCs w:val="29"/>
        </w:rPr>
        <w:t>5. Лечение хронических гепатитов.</w:t>
      </w:r>
    </w:p>
    <w:p w:rsidR="00000000" w:rsidRDefault="00130552">
      <w:pPr>
        <w:spacing w:before="100" w:beforeAutospacing="1" w:after="100" w:afterAutospacing="1"/>
      </w:pPr>
      <w:r>
        <w:rPr>
          <w:color w:val="000000"/>
          <w:szCs w:val="29"/>
        </w:rPr>
        <w:br w:type="page"/>
      </w:r>
      <w:r>
        <w:rPr>
          <w:b/>
          <w:bCs/>
          <w:szCs w:val="15"/>
        </w:rPr>
        <w:lastRenderedPageBreak/>
        <w:t>Гепатит</w:t>
      </w:r>
      <w:r>
        <w:rPr>
          <w:szCs w:val="15"/>
        </w:rPr>
        <w:t xml:space="preserve"> - это диффузный воспалительный процесс печени. Он может быть вызван следующими причинами:</w:t>
      </w:r>
    </w:p>
    <w:p w:rsidR="00000000" w:rsidRDefault="00130552">
      <w:pPr>
        <w:spacing w:before="100" w:beforeAutospacing="1" w:after="100" w:afterAutospacing="1"/>
        <w:ind w:left="283" w:hanging="283"/>
      </w:pPr>
      <w:r>
        <w:rPr>
          <w:szCs w:val="15"/>
        </w:rPr>
        <w:t>·       вирусы гепат</w:t>
      </w:r>
      <w:r>
        <w:rPr>
          <w:szCs w:val="15"/>
        </w:rPr>
        <w:t>ита А (HAV), гепатита В (HBV), гепатита С (HCV), гепатита D (HDV), гепатита Е (HEV), гепатита G (HGV)</w:t>
      </w:r>
    </w:p>
    <w:p w:rsidR="00000000" w:rsidRDefault="00130552">
      <w:pPr>
        <w:spacing w:before="100" w:beforeAutospacing="1" w:after="100" w:afterAutospacing="1"/>
        <w:ind w:left="283" w:hanging="283"/>
      </w:pPr>
      <w:r>
        <w:rPr>
          <w:szCs w:val="15"/>
        </w:rPr>
        <w:t>·       яды, токсические вещества и лекарства (например, грибы-поганки, передозировка парацетамола, алкоголь)</w:t>
      </w:r>
    </w:p>
    <w:p w:rsidR="00000000" w:rsidRDefault="00130552">
      <w:pPr>
        <w:spacing w:before="100" w:beforeAutospacing="1" w:after="100" w:afterAutospacing="1"/>
        <w:ind w:left="283" w:hanging="283"/>
      </w:pPr>
      <w:r>
        <w:rPr>
          <w:szCs w:val="15"/>
        </w:rPr>
        <w:t>·       в ряде случаев установить причину не</w:t>
      </w:r>
      <w:r>
        <w:rPr>
          <w:szCs w:val="15"/>
        </w:rPr>
        <w:t xml:space="preserve"> удается, например при аутоиммунном гепатите.</w:t>
      </w:r>
    </w:p>
    <w:p w:rsidR="00000000" w:rsidRDefault="00130552">
      <w:pPr>
        <w:pStyle w:val="3"/>
        <w:ind w:firstLine="708"/>
      </w:pPr>
      <w:r>
        <w:t>Многие вирусы вызывают системное заболевание, включающее в себя гепатит. Специфические вирусы гепатита (А, В, С, D, E, G) вызывают повреждение главного органа-мишени, т.е. печени, однако могут поражаться и друг</w:t>
      </w:r>
      <w:r>
        <w:t>ие органы и ткани.</w:t>
      </w:r>
    </w:p>
    <w:p w:rsidR="00000000" w:rsidRDefault="00130552">
      <w:pPr>
        <w:spacing w:before="100" w:beforeAutospacing="1" w:after="100" w:afterAutospacing="1"/>
        <w:ind w:firstLine="708"/>
      </w:pPr>
      <w:r>
        <w:rPr>
          <w:szCs w:val="15"/>
        </w:rPr>
        <w:t>В Таблице 1 приведена классификация вирусов гепатита, а в Таблице 2 - пути их передачи.</w:t>
      </w:r>
    </w:p>
    <w:p w:rsidR="00000000" w:rsidRDefault="00130552">
      <w:pPr>
        <w:pStyle w:val="1"/>
      </w:pPr>
      <w:r>
        <w:t>Таблица 1. Классификация вирусов гепатита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                                                Вирус                         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                H</w:t>
      </w:r>
      <w:r>
        <w:rPr>
          <w:szCs w:val="15"/>
        </w:rPr>
        <w:t xml:space="preserve">AV       HBV        HCV        HDV       HEV        </w:t>
      </w:r>
    </w:p>
    <w:p w:rsidR="00000000" w:rsidRDefault="00130552">
      <w:pPr>
        <w:pStyle w:val="2"/>
      </w:pPr>
      <w:r>
        <w:t xml:space="preserve">Тип нуклеиновой кислоты               РНК        ДНК       РНК        РНК        РНК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Хронизация         Нет         Да           Да           Да           Нет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Наличие вакцины            </w:t>
      </w:r>
      <w:r>
        <w:rPr>
          <w:szCs w:val="15"/>
        </w:rPr>
        <w:t xml:space="preserve">   Да           Да           Нет         Эффективна HBV вакцина       Нет         </w:t>
      </w:r>
    </w:p>
    <w:p w:rsidR="00000000" w:rsidRDefault="00130552">
      <w:pPr>
        <w:pStyle w:val="2"/>
        <w:spacing w:before="0" w:beforeAutospacing="0" w:after="0" w:afterAutospacing="0"/>
        <w:jc w:val="center"/>
      </w:pPr>
      <w:r>
        <w:t>Таблица 2. Пути передача вирусов гепатита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 Путь передачи                                    Вирус                         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                HAV       HBV        HC</w:t>
      </w:r>
      <w:r>
        <w:rPr>
          <w:szCs w:val="15"/>
        </w:rPr>
        <w:t xml:space="preserve">V        HDV       HEV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Через кишечник (пища/питьевая вода)         Да           Нет         Нет         Нет         Да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Через шприцы и иглы       Нет         Да           Да           Да  (если уже имеется HBV)  Нет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Гетеросексуал</w:t>
      </w:r>
      <w:r>
        <w:rPr>
          <w:szCs w:val="15"/>
        </w:rPr>
        <w:t xml:space="preserve">ы Нет         Да           ? редко  ? редко  Нет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lastRenderedPageBreak/>
        <w:t xml:space="preserve">Гомосексуалисты (мужчина-мужчина)       Да           Да           ? редко  ? редко  Нет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От матери к ребенку          Да           Да           ? редко  ? редко  ?              </w:t>
      </w:r>
    </w:p>
    <w:p w:rsidR="00000000" w:rsidRDefault="00130552">
      <w:pPr>
        <w:pStyle w:val="30"/>
      </w:pPr>
      <w:r>
        <w:t>Острые гепат</w:t>
      </w:r>
      <w:r>
        <w:t>иты в большинстве случаев протекают легко. При печеночно-клеточной недостаточности появляется склонность к образованию кровоизлияний и кровотечениям, а также сонливость, прогрессирует желтуха. В стационаре проводят поддерживающую терапию (внутривенное введ</w:t>
      </w:r>
      <w:r>
        <w:t>ение жидкости), контролируют показатели крови и коррегируют биохимические изменения (например, очень низкие уровни глюкозы). Большинство больных выздоравливают, однако иногда наблюдаются случаи смерти от тяжелой или фульминантной печеночно-клеточной недост</w:t>
      </w:r>
      <w:r>
        <w:t>аточности. Причинами смерти при остром гепатите являются печеночно-клеточная недостаточность, кровотечения, развитие тяжелой бактериальной инфекции или почечная недостаточность.</w:t>
      </w:r>
    </w:p>
    <w:p w:rsidR="00000000" w:rsidRDefault="00130552">
      <w:pPr>
        <w:pStyle w:val="1"/>
      </w:pPr>
      <w:r>
        <w:t>Таблица 3. Общие признаки острого вирусного гепатита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                 Вирус   </w:t>
      </w:r>
      <w:r>
        <w:rPr>
          <w:szCs w:val="15"/>
        </w:rPr>
        <w:t xml:space="preserve">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                HAV       HBV       HCV       HDV       HEV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Инкубационный период   2-6 недель             8-24 недели           6-12 недель           Варьирует: коинфекция против суперинфекции               2-6 недель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Наиболее информативный </w:t>
      </w:r>
      <w:r>
        <w:rPr>
          <w:szCs w:val="15"/>
        </w:rPr>
        <w:t>метод диагностики          Анти-HAV (IgM)   Анти-HBc (IgM)    HCV РНК*             Анти-HDV (IgM)   Существуют только экспериментальные методы 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Частота хронизации острых вирусных гепатитов представлена в таблице 4.</w:t>
      </w:r>
    </w:p>
    <w:p w:rsidR="00000000" w:rsidRDefault="00130552">
      <w:pPr>
        <w:spacing w:before="100" w:beforeAutospacing="1" w:after="100" w:afterAutospacing="1"/>
        <w:jc w:val="center"/>
      </w:pPr>
      <w:r>
        <w:rPr>
          <w:szCs w:val="15"/>
        </w:rPr>
        <w:t>Таблица 4. Частота хронизации острых виру</w:t>
      </w:r>
      <w:r>
        <w:rPr>
          <w:szCs w:val="15"/>
        </w:rPr>
        <w:t>сных гепатитов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Острый вирусный гепатит, тип       Частота хронизации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А             0%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В             5-10%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С             50-80%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Д      коинфекция с В      суперинфекция с В                2-5% до 90%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Е              0%   </w:t>
      </w:r>
      <w:r>
        <w:rPr>
          <w:szCs w:val="15"/>
        </w:rPr>
        <w:t xml:space="preserve">       </w:t>
      </w:r>
    </w:p>
    <w:p w:rsidR="00000000" w:rsidRDefault="00130552">
      <w:pPr>
        <w:pStyle w:val="30"/>
      </w:pPr>
      <w:r>
        <w:t>Хронические вирусные гепатиты. Если воспалительный процесс в печени сохраняется в течение 6 месяцев, это свидетельствует о развитии хронического гепатита. У многих больных хронические гепатиты протекают бессимптомно. Диагноз может быть установлен т</w:t>
      </w:r>
      <w:r>
        <w:t xml:space="preserve">олько в случае развития тяжелых осложнений заболеваний печени или в следующих ситуациях: если больной инфицирует своего полового партнера, у которого развивается острый гепатит; путем скрининга в центрах переливания крови; при выявлении повышенных уровней </w:t>
      </w:r>
      <w:r>
        <w:t>печеночных ферментов в крови.</w:t>
      </w:r>
    </w:p>
    <w:p w:rsidR="00000000" w:rsidRDefault="00130552">
      <w:pPr>
        <w:pStyle w:val="30"/>
        <w:rPr>
          <w:szCs w:val="24"/>
        </w:rPr>
      </w:pPr>
      <w:r>
        <w:rPr>
          <w:szCs w:val="24"/>
        </w:rPr>
        <w:t>Симптомы, позволяющие заподозрить хроническое заболевание печени, включают в себя: утомляемость; подкожные кровоизлияния; желтуха кожи и глазных яблок; кожный зуд. Однако, заболевание проявляется клинически только в случае выр</w:t>
      </w:r>
      <w:r>
        <w:rPr>
          <w:szCs w:val="24"/>
        </w:rPr>
        <w:t xml:space="preserve">аженного поражения паренхимы печени. </w:t>
      </w:r>
    </w:p>
    <w:p w:rsidR="00000000" w:rsidRDefault="00130552">
      <w:pPr>
        <w:spacing w:before="100" w:beforeAutospacing="1" w:after="100" w:afterAutospacing="1"/>
        <w:ind w:firstLine="708"/>
      </w:pPr>
      <w:r>
        <w:rPr>
          <w:szCs w:val="15"/>
        </w:rPr>
        <w:t>Для подтверждения диагноза используют современные методы визуализации органов брюшной полости.</w:t>
      </w:r>
    </w:p>
    <w:p w:rsidR="00000000" w:rsidRDefault="00130552">
      <w:pPr>
        <w:spacing w:before="100" w:beforeAutospacing="1" w:after="100" w:afterAutospacing="1"/>
        <w:ind w:firstLine="708"/>
      </w:pPr>
      <w:r>
        <w:rPr>
          <w:szCs w:val="15"/>
        </w:rPr>
        <w:t>Ультразвуковое исследование используют для определения размера печени и селезенки. Можно также подтвердить наличие асцита и</w:t>
      </w:r>
      <w:r>
        <w:rPr>
          <w:szCs w:val="15"/>
        </w:rPr>
        <w:t xml:space="preserve"> блокады системы желчеотделения. С помощью этого метода можно выявить также камни в желчном пузыре. Эндоскопическая ретроградная холангиопанкреатография (РХПГ) используется в случаях, когда подозревают нарушение проходимости желчевыводящей системы. Компьют</w:t>
      </w:r>
      <w:r>
        <w:rPr>
          <w:szCs w:val="15"/>
        </w:rPr>
        <w:t>ерная томография (КТГ) особенно полезна при диагностике опухолей. В печени часто обнаруживают метастазы, хотя встречаются и первичные опухоли печени. Злокачественные первичные опухоли печени (гепатоклеточные карциномы или гепатомы) являются известными исхо</w:t>
      </w:r>
      <w:r>
        <w:rPr>
          <w:szCs w:val="15"/>
        </w:rPr>
        <w:t>дами хронических вирусных инфекций.</w:t>
      </w:r>
    </w:p>
    <w:p w:rsidR="00000000" w:rsidRDefault="00130552">
      <w:pPr>
        <w:pStyle w:val="30"/>
      </w:pPr>
      <w:r>
        <w:t>Биопсия печени позволяет гистологически оценить тяжесть хронического заболевания печени. При изучении биоптатов выявляют различные гистологические изменения - от минимальных неспецифических изменений и хронического перси</w:t>
      </w:r>
      <w:r>
        <w:t>стирующего гепатита (ХГП) до более тяжелого хронического активного гепатита (ХАГ). Гистологически обнаруживают воспаление портальной стромы и паренхимы различной степени выраженности в сочетании с некрозом и фиброзом последней.</w:t>
      </w:r>
    </w:p>
    <w:p w:rsidR="00000000" w:rsidRDefault="00130552">
      <w:pPr>
        <w:spacing w:before="100" w:beforeAutospacing="1" w:after="100" w:afterAutospacing="1"/>
        <w:ind w:firstLine="708"/>
      </w:pPr>
      <w:r>
        <w:rPr>
          <w:szCs w:val="15"/>
        </w:rPr>
        <w:t>Цирроз, характеризующийся не</w:t>
      </w:r>
      <w:r>
        <w:rPr>
          <w:szCs w:val="15"/>
        </w:rPr>
        <w:t>обратимыми рубцовыми изменениями также может быть диагностирован при биопсии. Цирроз может развиться в результате хронического вирусного гепатита или злоупотребления алкоголем. У больных циррозом печени повышен риск развития гепатоклеточной карциномы.</w:t>
      </w:r>
    </w:p>
    <w:p w:rsidR="00000000" w:rsidRDefault="00130552">
      <w:pPr>
        <w:pStyle w:val="30"/>
      </w:pPr>
      <w:r>
        <w:t>Одна</w:t>
      </w:r>
      <w:r>
        <w:t>ко, несмотря на схожесть клинико-морфологических проявлений хронических вирусных гепатитов, каждый из них в зависимости от этиологии имеет свои отличительные особенности.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Хроническая инфекция, обусловленная вирусом гепатита В (HBV - инфекция).</w:t>
      </w:r>
    </w:p>
    <w:p w:rsidR="00000000" w:rsidRDefault="00130552">
      <w:pPr>
        <w:pStyle w:val="30"/>
      </w:pPr>
      <w:r>
        <w:t xml:space="preserve">Возбудитель </w:t>
      </w:r>
      <w:r>
        <w:t>гепатита В - ДНК-содержащий вирус, выявляется в ткани печени и сыворотке крови в виде сферических структур диаметром 42 мм - частица Дейна. Вирус обладает тремя антигенными детерминантами. С внешней оболочкой вируса связан поверхностный антиген вируса гепа</w:t>
      </w:r>
      <w:r>
        <w:t>тита В (HBsAg), с сердцевинной частью частицы Дейна - сердцевинный антиген (HBcAg) и HBeAg, являющийся его субъединицей. ДНК генома HBV представлена двойной циркулярной спиралью, одна из которых неполная и может быть завершена соответствующими нуклеотидами</w:t>
      </w:r>
      <w:r>
        <w:t xml:space="preserve">, доставленными посредством ДНК-зависимой ДНК-полимеразы. Геном HBV может существовать в эписомальной (свободной) и хромосомальной (интегрированной) формах. Были выделены две биологические фазы развития HBV: ранняя репликативная и поздняя интегративная. В </w:t>
      </w:r>
      <w:r>
        <w:t>раннюю фазу HBV-инфекции занесенные в кровь частицы Дейна проникают через мембрану гепатоцита, ДНК HBV транспортируется к ядру гепатоцита, где с участием вирусной ДНК-полимеразы идет интенсивная наработка ДНК HBV, а также кодируются и синтезируются все вир</w:t>
      </w:r>
      <w:r>
        <w:t>усные субкомпоненты (HBcAg, HBeAg, HBsAg) с последующей сборкой полного вириона.</w:t>
      </w:r>
    </w:p>
    <w:p w:rsidR="00000000" w:rsidRDefault="00130552">
      <w:pPr>
        <w:pStyle w:val="30"/>
      </w:pPr>
      <w:r>
        <w:t>В сыворотке крови в репликативную фазу циркулируют наряду с HBsAg, HBeAg, анти-HBc IgM и ДНК HBV-полимераза, которые признаны сывороточными маркерами фазы репликации HBV. В тк</w:t>
      </w:r>
      <w:r>
        <w:t>анях печени выявляются ДНК HBV и HBcAg. Во время этой фазы возможна элиминация HBV как спонтанная, так и при использовании химиотерапевтических противовирусных средств и интерферона.</w:t>
      </w:r>
    </w:p>
    <w:p w:rsidR="00000000" w:rsidRDefault="00130552">
      <w:pPr>
        <w:pStyle w:val="30"/>
      </w:pPr>
      <w:r>
        <w:t xml:space="preserve">Репликацией HBV в гепатоцитах связаны активность (некрозы гепатоцитов) и </w:t>
      </w:r>
      <w:r>
        <w:t>прогрессирование патологического процесса в печени. Продолжительность этой фазы  при хронических гепатитах составляет от 6 месяцев до 10 и более лет. У 10% больных ежегодно отмечается спонтанное прекращение репликации HBV. Последнее наблюдается также при ф</w:t>
      </w:r>
      <w:r>
        <w:t>ормировании ЦП и суперинфекции вирусами гепатита Д и С.</w:t>
      </w:r>
    </w:p>
    <w:p w:rsidR="00000000" w:rsidRDefault="00130552">
      <w:pPr>
        <w:pStyle w:val="30"/>
      </w:pPr>
      <w:r>
        <w:t>На более поздних стадиях развития HBV-инфекции происходит интеграция фрагмента ДНК вируса, несущего гены HBsAg в ДНК гепатоцита с последующим кодированием и синтезом преимущественно HBsAg с участием Д</w:t>
      </w:r>
      <w:r>
        <w:t>НК-полимеразы гепатоцита. Рядом исследователей показано, что вирусная ДНК может быть интегрирована не только в клетки печени, но и в клетки поджелудочной и слюнных желез, кожи, почек. ДНК HBV была выявлена в лейкоцитах периферической крови, в сперматозоида</w:t>
      </w:r>
      <w:r>
        <w:t xml:space="preserve">х, мононуклеарных клетках, в слюне, моче  больных хроническими заболеваниями печени как с наличием маркеров репликации HBV, так и с их отсутствием. В эту, так называемую интегративную, фазу полная репликация вируса прекращается. У таких больных становится </w:t>
      </w:r>
      <w:r>
        <w:t>невозможной ликвидация HBsAg-носительства.</w:t>
      </w:r>
    </w:p>
    <w:p w:rsidR="00000000" w:rsidRDefault="00130552">
      <w:pPr>
        <w:spacing w:before="100" w:beforeAutospacing="1" w:after="100" w:afterAutospacing="1"/>
      </w:pPr>
      <w:r>
        <w:t xml:space="preserve">О переходе репликативной фазы в интегративную свидетельствует сероконверсия HBeAg в HBeAb, исчезновение из сыворотки крови ДНК HBV, ДНК-полимеразы и HBcAg из ткани печени. Интеграция генома HBV в геном гепатоцита </w:t>
      </w:r>
      <w:r>
        <w:t xml:space="preserve">сопровождается наступлением клинической и гистологической ремиссии хронических заболеваний печени вплоть до формирования хронического бессимптомного носительства HBsAg с минимальными измененями ткани печени.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Клинические варианты хронической HBV-инфекции в</w:t>
      </w:r>
      <w:r>
        <w:rPr>
          <w:szCs w:val="15"/>
        </w:rPr>
        <w:t>ключают: хронический активный гепатит (ХАГ В), хронический персистирующий гепатит (ХПГ В), хронический лобулярный гепатит (ХЛГ В), асимптоматическое ("здоровое") носительство HBsAg, цирроз печени (ЦП), первичный рак печени (ПРП), узелковый периартериит    </w:t>
      </w:r>
      <w:r>
        <w:rPr>
          <w:szCs w:val="15"/>
        </w:rPr>
        <w:t xml:space="preserve">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Мутанты вируса гепатита В. Мутантный HBV был идентифицирован у больных, негативных по HBeAg и позитивных по анти- HВe, у которых тем не менее сохранялась виремия и часто наблюдалось развитие более тяжелого и быстропрогрессирующего заболевания печени</w:t>
      </w:r>
      <w:r>
        <w:rPr>
          <w:szCs w:val="15"/>
        </w:rPr>
        <w:t>. У таких больных с продолжающейся репликацией вируса и тяжелым поражением печени нарушается секреция HBeAg. Мутировавший вирус может вызвать как острое , так и хроническое заболевание печени. Мутация происходит в преядерном участке генома HBV. При заражен</w:t>
      </w:r>
      <w:r>
        <w:rPr>
          <w:szCs w:val="15"/>
        </w:rPr>
        <w:t xml:space="preserve">ии мутантным вирусом, а также при суперинфицировании HDV и HCV выявляется атипичный профиль сывороточных маркеров репликативной фазы развития HBV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Инфекция, вызванная вирусом гепатита С (HCV-инфекция). Вирус гепатита С</w:t>
      </w:r>
      <w:r>
        <w:rPr>
          <w:szCs w:val="15"/>
          <w:lang w:val="uk-UA"/>
        </w:rPr>
        <w:t>-</w:t>
      </w:r>
      <w:r>
        <w:rPr>
          <w:szCs w:val="15"/>
        </w:rPr>
        <w:t xml:space="preserve">  флавовирус, геном которого представ</w:t>
      </w:r>
      <w:r>
        <w:rPr>
          <w:szCs w:val="15"/>
        </w:rPr>
        <w:t>лен одноцепочной РНК. Геном HCV неоднороден. Выделяют несколько штамов вируса, классификация которых представлена в таблице 10.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Таблица 10. Генотипирование вируса гепатита С (классификация)</w:t>
      </w:r>
    </w:p>
    <w:p w:rsidR="00000000" w:rsidRDefault="00130552">
      <w:pPr>
        <w:spacing w:before="100" w:beforeAutospacing="1" w:after="100" w:afterAutospacing="1"/>
        <w:ind w:firstLine="0"/>
      </w:pPr>
      <w:r>
        <w:rPr>
          <w:szCs w:val="15"/>
        </w:rPr>
        <w:t>                Типы HCV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Simmonds (автор)                Okamoto (</w:t>
      </w:r>
      <w:r>
        <w:rPr>
          <w:szCs w:val="15"/>
        </w:rPr>
        <w:t xml:space="preserve">автор) </w:t>
      </w:r>
    </w:p>
    <w:p w:rsidR="00000000" w:rsidRDefault="00130552">
      <w:pPr>
        <w:spacing w:before="100" w:beforeAutospacing="1" w:after="100" w:afterAutospacing="1"/>
        <w:rPr>
          <w:lang w:val="en-US"/>
        </w:rPr>
      </w:pPr>
      <w:r>
        <w:rPr>
          <w:szCs w:val="15"/>
          <w:lang w:val="en-US"/>
        </w:rPr>
        <w:t xml:space="preserve">1a            I               </w:t>
      </w:r>
    </w:p>
    <w:p w:rsidR="00000000" w:rsidRDefault="00130552">
      <w:pPr>
        <w:spacing w:before="100" w:beforeAutospacing="1" w:after="100" w:afterAutospacing="1"/>
        <w:rPr>
          <w:lang w:val="en-US"/>
        </w:rPr>
      </w:pPr>
      <w:r>
        <w:rPr>
          <w:szCs w:val="15"/>
          <w:lang w:val="en-US"/>
        </w:rPr>
        <w:t>1</w:t>
      </w:r>
      <w:r>
        <w:rPr>
          <w:szCs w:val="15"/>
        </w:rPr>
        <w:t>б</w:t>
      </w:r>
      <w:r>
        <w:rPr>
          <w:szCs w:val="15"/>
          <w:lang w:val="en-US"/>
        </w:rPr>
        <w:t xml:space="preserve">            II  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2а            III 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2б            IV 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3а            V  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3б            VI 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4              -               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5              -               </w:t>
      </w:r>
    </w:p>
    <w:p w:rsidR="00000000" w:rsidRDefault="00130552">
      <w:pPr>
        <w:spacing w:before="100" w:beforeAutospacing="1" w:after="100" w:afterAutospacing="1"/>
      </w:pPr>
      <w:r>
        <w:rPr>
          <w:i/>
          <w:iCs/>
          <w:szCs w:val="15"/>
        </w:rPr>
        <w:t>Примеч</w:t>
      </w:r>
      <w:r>
        <w:rPr>
          <w:i/>
          <w:iCs/>
          <w:szCs w:val="15"/>
        </w:rPr>
        <w:t xml:space="preserve">ание:       </w:t>
      </w:r>
      <w:r>
        <w:rPr>
          <w:szCs w:val="15"/>
        </w:rPr>
        <w:t>Штамм HCV - 1б - является наиболее агрессивным штамом.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При репликации HCV в сыворотке крови обнаруживаются анти-HCV класса IgM и РНК- HCV, при прекращении репликации - в течение длительного времени могут выявляться только анти-HCV IgG. Репликац</w:t>
      </w:r>
      <w:r>
        <w:rPr>
          <w:szCs w:val="15"/>
        </w:rPr>
        <w:t>ия вируса гепатита С всегда сочетается с наличием некрозов гепатоцитов (с активностью) и прогрессированием заболевания.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Хроническая HCV-инфекция. Хроническую HCV-инфекцию диагностируют при наличии постоянно повышенных уровней АЛТ в сыворотке и наличии анти</w:t>
      </w:r>
      <w:r>
        <w:rPr>
          <w:szCs w:val="15"/>
        </w:rPr>
        <w:t>-HCV и РНК-HCV в течение более 6 месяцев. Однако колебания уровней трансаминаз с периодами их полной нормализации могут затруднить установление диагноза. Кроме того, уровни анти-HCV не всегда остаются повышенными, поэтому для подтверждения диагноза необход</w:t>
      </w:r>
      <w:r>
        <w:rPr>
          <w:szCs w:val="15"/>
        </w:rPr>
        <w:t>имо определение РНК-HCV. Для уточнения характера повреждения печени может быть использована биопсия печени.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 xml:space="preserve">Клинические варианты хронической HCV-инфекции включают ХАГ С, ХПГ С, цирроз печени, первичный рак печени. У большинства больных хронический гепатит </w:t>
      </w:r>
      <w:r>
        <w:rPr>
          <w:szCs w:val="15"/>
        </w:rPr>
        <w:t>С протекает бессимптомно, однако у части из них прогноз серьезен и может развиться тяжелое прогрессирующее течение заболевания. На протяжении одной-двух декад примерно в 80% случаев развивается цирроз печени и повышен риск развития ПРП. Плохим диагностичес</w:t>
      </w:r>
      <w:r>
        <w:rPr>
          <w:szCs w:val="15"/>
        </w:rPr>
        <w:t>ким признаком у данных больных является желтуха.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Диагноз. Во многих случаях диагноз устанавливают при скрининге донорской крови, появлении признаков декомпенсированного цирроза. Определение активности АЛТ в сыворотке и анти-HCV - наиболее важные исследован</w:t>
      </w:r>
      <w:r>
        <w:rPr>
          <w:szCs w:val="15"/>
        </w:rPr>
        <w:t>ия при HCV-инфекции. Усовершенствованный метод ELISA, разработанный к настоящему времени, является чувствительным и специфичным методом диагностики HCV-инфекции. С помощью этого метода удается выявить маркеры инфекции, которые появляются на более ранних ст</w:t>
      </w:r>
      <w:r>
        <w:rPr>
          <w:szCs w:val="15"/>
        </w:rPr>
        <w:t>адиях болезни, что может быть полезно для дифференциальной диагностики острой и хронической инфекции у некоторых больных.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Методов прямого определения антигена HCV пока не существует, поэтому HCV-РНК остается на сегодняшний день наиболее информативным марке</w:t>
      </w:r>
      <w:r>
        <w:rPr>
          <w:szCs w:val="15"/>
        </w:rPr>
        <w:t xml:space="preserve">ром виремии и возможности  передачи инфекции. Для подтверждения наличия HCV-РНК в сыворотке используют полимеразную цепную реакцию (ПЦР). С помощью этой реакции выявляют вирусную РНК в крови и других тканях у больных даже с очень низким уровнем репликации </w:t>
      </w:r>
      <w:r>
        <w:rPr>
          <w:szCs w:val="15"/>
        </w:rPr>
        <w:t>вируса.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Инфекция, обусловленная вирусом гепатита D (HDV-инфекция). Вирус гепатита D - небольшой (35-37 нм) дефектный РНК-вирус, использующий в качестве оболочки HBsAg вируса гепатита В, локааклизуется в ядрах гепатоцитов. Его репликация возможна только при</w:t>
      </w:r>
      <w:r>
        <w:rPr>
          <w:szCs w:val="15"/>
        </w:rPr>
        <w:t xml:space="preserve"> наличии HBsAg, даже если последний присутствует в чрезвычайно низкой концентрации. Серологическими маркерами дельта-инфекции являются антитела к дельта-антигену класса JgM и JgG, при этом последние при хронизации процесса длительно определяются в высокой </w:t>
      </w:r>
      <w:r>
        <w:rPr>
          <w:szCs w:val="15"/>
        </w:rPr>
        <w:t>концентрации.</w:t>
      </w:r>
    </w:p>
    <w:p w:rsidR="00000000" w:rsidRDefault="00130552">
      <w:pPr>
        <w:spacing w:before="100" w:beforeAutospacing="1" w:after="100" w:afterAutospacing="1"/>
      </w:pPr>
      <w:r>
        <w:rPr>
          <w:szCs w:val="15"/>
        </w:rPr>
        <w:t>Выделяют два основных типа инфекции: коинфекция и суперинфекция. Коинфекцией называют одновременное инфицирование HBV и HDV, например, у наркоманов, пользующихся одной иглой. При этом может развиться тяжелый острый гепатит, однако хроническое</w:t>
      </w:r>
      <w:r>
        <w:rPr>
          <w:szCs w:val="15"/>
        </w:rPr>
        <w:t xml:space="preserve"> носительство наблюдается в таких случаях редко. Суперинфекцией называют инфицирование вирусом гепатита D хронического носителя HBV. В этом случае может развиться острый гепатит с высоким риском его хронизации и развития быстропрогрессирующего ХАГ с перехо</w:t>
      </w:r>
      <w:r>
        <w:rPr>
          <w:szCs w:val="15"/>
        </w:rPr>
        <w:t>дом в цирроз. Учитывая необходимость наличия HBV для репликации HDV, HBV-вакцина защищает и от HDV-инфекции. Клинические формы хронической HDV-инфекции включают ХАГ Д, цирроз печени и редко ХПГ Д и ПРП.</w:t>
      </w:r>
    </w:p>
    <w:p w:rsidR="00000000" w:rsidRDefault="00130552">
      <w:pPr>
        <w:spacing w:before="100" w:beforeAutospacing="1" w:after="100" w:afterAutospacing="1"/>
        <w:rPr>
          <w:szCs w:val="15"/>
          <w:lang w:val="uk-UA"/>
        </w:rPr>
      </w:pPr>
      <w:r>
        <w:rPr>
          <w:szCs w:val="15"/>
        </w:rPr>
        <w:t>У больных хроническими вирусными заболеваниями печени</w:t>
      </w:r>
      <w:r>
        <w:rPr>
          <w:szCs w:val="15"/>
        </w:rPr>
        <w:t xml:space="preserve"> очень важно проводить дифференциальную диагностику с аутоиммунным гепатитом. </w:t>
      </w:r>
    </w:p>
    <w:p w:rsidR="00000000" w:rsidRDefault="00130552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ХРОНИЧЕСКИЙ ГЕПАТИТ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Хронический гепатит С (ХГС) - это диффузное заболевание печени продол-жительностью 6 и более месяцев, причиной которого является вирус гепатита С.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Клиническ</w:t>
      </w:r>
      <w:r>
        <w:rPr>
          <w:rFonts w:ascii="Times New Roman" w:hAnsi="Times New Roman" w:cs="Times New Roman"/>
          <w:b/>
          <w:bCs/>
          <w:i/>
          <w:iCs/>
          <w:sz w:val="28"/>
        </w:rPr>
        <w:t>ая диагностика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Критериями для постановки диагноза являются увеличение печени и селезенки, гиперферментемия и анти-ВГС в крови сроком не менее 6 месяцев, при исключении других хронических заболеваний печени, согласно международной классификации 1994 года. </w:t>
      </w:r>
      <w:r>
        <w:rPr>
          <w:rFonts w:ascii="Times New Roman" w:hAnsi="Times New Roman" w:cs="Times New Roman"/>
          <w:sz w:val="28"/>
        </w:rPr>
        <w:t xml:space="preserve">Точный характер поражения печени, а именно, степень некрозо-воспалительных изменений и стадию фиброза, позволяет определить биопсия печени. Результаты исследования биопсии печени дают точку отсчета у конкретного больного. </w:t>
      </w:r>
      <w:r>
        <w:rPr>
          <w:rFonts w:ascii="Times New Roman" w:hAnsi="Times New Roman" w:cs="Times New Roman"/>
          <w:sz w:val="28"/>
        </w:rPr>
        <w:br/>
        <w:t>Наличие или отсутствие РНК ВГС, к</w:t>
      </w:r>
      <w:r>
        <w:rPr>
          <w:rFonts w:ascii="Times New Roman" w:hAnsi="Times New Roman" w:cs="Times New Roman"/>
          <w:sz w:val="28"/>
        </w:rPr>
        <w:t xml:space="preserve">ак правило, не является диагностическим критерием хронического гепатита С и определяет фазу процесса (активный, неактивный).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Лечение</w:t>
      </w:r>
      <w:r>
        <w:rPr>
          <w:rFonts w:ascii="Times New Roman" w:hAnsi="Times New Roman" w:cs="Times New Roman"/>
          <w:sz w:val="28"/>
        </w:rPr>
        <w:t xml:space="preserve">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Лечение больных с хроническим гепатитом С должно проводиться в центрах, обеспечивающих соблюдение правил санэпидрежима, с</w:t>
      </w:r>
      <w:r>
        <w:rPr>
          <w:rFonts w:ascii="Times New Roman" w:hAnsi="Times New Roman" w:cs="Times New Roman"/>
          <w:sz w:val="28"/>
        </w:rPr>
        <w:t xml:space="preserve">пециалистами-гепатологами (инфекционистами и гастроэнтерологами). </w:t>
      </w:r>
      <w:r>
        <w:rPr>
          <w:rFonts w:ascii="Times New Roman" w:hAnsi="Times New Roman" w:cs="Times New Roman"/>
          <w:sz w:val="28"/>
        </w:rPr>
        <w:br/>
        <w:t>При наличии у больных тяжелых сопутствующих заболеваний пациентам должно проводиться лечение ХГС гепатологами совместно со специалистами согласно профилю заболевания пациента (урологом, онк</w:t>
      </w:r>
      <w:r>
        <w:rPr>
          <w:rFonts w:ascii="Times New Roman" w:hAnsi="Times New Roman" w:cs="Times New Roman"/>
          <w:sz w:val="28"/>
        </w:rPr>
        <w:t xml:space="preserve">ологом, кардиологом, эндокринологом, венерологом и др.). </w:t>
      </w:r>
      <w:r>
        <w:rPr>
          <w:rFonts w:ascii="Times New Roman" w:hAnsi="Times New Roman" w:cs="Times New Roman"/>
          <w:sz w:val="28"/>
        </w:rPr>
        <w:br/>
        <w:t xml:space="preserve">В большинстве случаев лечение ХГС может осуществляться в амбулаторно-поликлинических условиях.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ИФН-терапия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ИФН-терапия безусловно показана: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взрослым больным от 18 до 60 лет,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при постоянном п</w:t>
      </w:r>
      <w:r>
        <w:rPr>
          <w:rFonts w:ascii="Times New Roman" w:hAnsi="Times New Roman" w:cs="Times New Roman"/>
          <w:sz w:val="28"/>
        </w:rPr>
        <w:t xml:space="preserve">овышении уровней АЛТ,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 наличии РНК ВГС в крови,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 наличии в биоптате печени умеренно выраженного воспалительного процесса или фиброза.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наличия вышеперечисленных показаний к ИФН-терапии, первостепенной задачей клинициста является оценка</w:t>
      </w:r>
      <w:r>
        <w:rPr>
          <w:rFonts w:ascii="Times New Roman" w:hAnsi="Times New Roman" w:cs="Times New Roman"/>
          <w:sz w:val="28"/>
        </w:rPr>
        <w:t xml:space="preserve"> возможной эффективности для конкретного пациента. Основанием для назначения монотерапии ИФН может служить наличие следующих факторов, указывающих с большой долей вероятности на конечный благоприятный лечебный эффект: молодой возраст на момент заражения (д</w:t>
      </w:r>
      <w:r>
        <w:rPr>
          <w:rFonts w:ascii="Times New Roman" w:hAnsi="Times New Roman" w:cs="Times New Roman"/>
          <w:sz w:val="28"/>
        </w:rPr>
        <w:t xml:space="preserve">о 40 лет), женский пол, отсутствие избыточного веса, повышенного уровня железа и ?-ГТП в сыворотке крови, повышенные уровни АЛТ, наличие умеренной степени активности процесса и минимального фиброза по данным биопсии печени, невысокий уровень РНК ВГС и «не </w:t>
      </w:r>
      <w:r>
        <w:rPr>
          <w:rFonts w:ascii="Times New Roman" w:hAnsi="Times New Roman" w:cs="Times New Roman"/>
          <w:sz w:val="28"/>
        </w:rPr>
        <w:t>1» генотип ВГС. Отсутствие этих факторов может рассматриваться как показание к назначению комбинированной терапии. Стандартной монотерапией альфа-ИФН является введение 3 млн. МЕ препарата трижды в неделю в течение 12 месяцев, при условии исчезновения РНК В</w:t>
      </w:r>
      <w:r>
        <w:rPr>
          <w:rFonts w:ascii="Times New Roman" w:hAnsi="Times New Roman" w:cs="Times New Roman"/>
          <w:sz w:val="28"/>
        </w:rPr>
        <w:t xml:space="preserve">ГС через 3 мес. от начала лечения. В случаях обнаружения РНК ВГС после 3 мес. лечения продолжать терапию по указанной схеме нецелесообразно. </w:t>
      </w:r>
      <w:r>
        <w:rPr>
          <w:rFonts w:ascii="Times New Roman" w:hAnsi="Times New Roman" w:cs="Times New Roman"/>
          <w:sz w:val="28"/>
        </w:rPr>
        <w:br/>
        <w:t>При отсутствии показаний к ИФН-терапии необходимо проведение динамического наблюдения и базисного, в основном симп</w:t>
      </w:r>
      <w:r>
        <w:rPr>
          <w:rFonts w:ascii="Times New Roman" w:hAnsi="Times New Roman" w:cs="Times New Roman"/>
          <w:sz w:val="28"/>
        </w:rPr>
        <w:t>томатического, лечения (особенно при сопутствующих заболеваниях). Контрольные исследования биохимических показателей крови целесообразно исследовать 1 раз в 3 мес.: РНК ВГС, белковый спектр крови, протромбин и альбумин - 1 раз в 6 мес.; УЗИ и ?-фетопротеин</w:t>
      </w:r>
      <w:r>
        <w:rPr>
          <w:rFonts w:ascii="Times New Roman" w:hAnsi="Times New Roman" w:cs="Times New Roman"/>
          <w:sz w:val="28"/>
        </w:rPr>
        <w:t xml:space="preserve"> - 1 раз в 12 мес.  В случаях проведения только базисной терапии при динамическом обследовании рекомендуется провести повторную биопсию печени через 4-5 лет. </w:t>
      </w:r>
      <w:r>
        <w:rPr>
          <w:rFonts w:ascii="Times New Roman" w:hAnsi="Times New Roman" w:cs="Times New Roman"/>
          <w:sz w:val="28"/>
        </w:rPr>
        <w:br/>
        <w:t>Противопоказания к назначению ИФН-терапии представлены в инструкции по применению коммерческих пр</w:t>
      </w:r>
      <w:r>
        <w:rPr>
          <w:rFonts w:ascii="Times New Roman" w:hAnsi="Times New Roman" w:cs="Times New Roman"/>
          <w:sz w:val="28"/>
        </w:rPr>
        <w:t xml:space="preserve">епаратов ИФН.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Оценка (мониторинг) эффективности ИФН-терапии при ХГС.</w:t>
      </w:r>
      <w:r>
        <w:rPr>
          <w:rFonts w:ascii="Times New Roman" w:hAnsi="Times New Roman" w:cs="Times New Roman"/>
          <w:sz w:val="28"/>
        </w:rPr>
        <w:t xml:space="preserve">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Включает в себя следующие показатели: уровень АСТ  или АЛТ, наличие или отсутствие РНК ВГС, временной фактор.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</w:rPr>
        <w:t>Биохимическая ремиссия в конце лечения</w:t>
      </w:r>
      <w:r>
        <w:rPr>
          <w:rFonts w:ascii="Times New Roman" w:hAnsi="Times New Roman" w:cs="Times New Roman"/>
          <w:sz w:val="28"/>
        </w:rPr>
        <w:t xml:space="preserve"> - нормализация уровней АСТ и АЛТ ср</w:t>
      </w:r>
      <w:r>
        <w:rPr>
          <w:rFonts w:ascii="Times New Roman" w:hAnsi="Times New Roman" w:cs="Times New Roman"/>
          <w:sz w:val="28"/>
        </w:rPr>
        <w:t xml:space="preserve">азу после окончания терапии;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</w:rPr>
        <w:t>Полная ремиссия в конце лечения</w:t>
      </w:r>
      <w:r>
        <w:rPr>
          <w:rFonts w:ascii="Times New Roman" w:hAnsi="Times New Roman" w:cs="Times New Roman"/>
          <w:sz w:val="28"/>
        </w:rPr>
        <w:t xml:space="preserve"> - нормализация уровней АСТ и АЛТ и исчезновение РНК ВГС из крови сразу после окончания терапии;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</w:rPr>
        <w:t>Стабильная биохимическая ремиссия</w:t>
      </w:r>
      <w:r>
        <w:rPr>
          <w:rFonts w:ascii="Times New Roman" w:hAnsi="Times New Roman" w:cs="Times New Roman"/>
          <w:sz w:val="28"/>
        </w:rPr>
        <w:t xml:space="preserve"> - сохранение нормального уровня АСТ и АЛТ через 6 мес. и более </w:t>
      </w:r>
      <w:r>
        <w:rPr>
          <w:rFonts w:ascii="Times New Roman" w:hAnsi="Times New Roman" w:cs="Times New Roman"/>
          <w:sz w:val="28"/>
        </w:rPr>
        <w:t xml:space="preserve">после прекращения терапии;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</w:rPr>
        <w:t>Стабильная полная ремиссия</w:t>
      </w:r>
      <w:r>
        <w:rPr>
          <w:rFonts w:ascii="Times New Roman" w:hAnsi="Times New Roman" w:cs="Times New Roman"/>
          <w:sz w:val="28"/>
        </w:rPr>
        <w:t xml:space="preserve"> - сохранение нормального уровня АСТ и АЛТ, а также отсутствие РНК ВГС через 6 мес. и более после прекращения терапии;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В случаях достижения стабильной полной ремиссии через 6 мес. после окончания лечен</w:t>
      </w:r>
      <w:r>
        <w:rPr>
          <w:rFonts w:ascii="Times New Roman" w:hAnsi="Times New Roman" w:cs="Times New Roman"/>
          <w:sz w:val="28"/>
        </w:rPr>
        <w:t xml:space="preserve">ия рекомендуется продолжить наблюдение за больным не менее 2-х лет с периодичностью 1 раз в полгода и последующей биопсией печени.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</w:rPr>
        <w:t xml:space="preserve">Рецидив болезни </w:t>
      </w:r>
      <w:r>
        <w:rPr>
          <w:rFonts w:ascii="Times New Roman" w:hAnsi="Times New Roman" w:cs="Times New Roman"/>
          <w:sz w:val="28"/>
        </w:rPr>
        <w:t xml:space="preserve">- повышение уровня АСТ и АЛТ и / или появление РНК ВГС в крови после прекращения лечения.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</w:rPr>
        <w:t>Отсутствие лечебн</w:t>
      </w:r>
      <w:r>
        <w:rPr>
          <w:rFonts w:ascii="Times New Roman" w:hAnsi="Times New Roman" w:cs="Times New Roman"/>
          <w:sz w:val="28"/>
          <w:u w:val="single"/>
        </w:rPr>
        <w:t>ого эффекта</w:t>
      </w:r>
      <w:r>
        <w:rPr>
          <w:rFonts w:ascii="Times New Roman" w:hAnsi="Times New Roman" w:cs="Times New Roman"/>
          <w:sz w:val="28"/>
        </w:rPr>
        <w:t xml:space="preserve"> - отсутствие нормализации уровня АСТ или АЛТ и/или сохранение РНК ВГС в крови в течение 3 мес. после начала лечения и/или в конце лечения.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Любой достигнутый эффект  на монотерапию ИФН должен быть учтен клиницистом, т.к. имеет значение для даль</w:t>
      </w:r>
      <w:r>
        <w:rPr>
          <w:rFonts w:ascii="Times New Roman" w:hAnsi="Times New Roman" w:cs="Times New Roman"/>
          <w:sz w:val="28"/>
        </w:rPr>
        <w:t xml:space="preserve">нейшей тактики лечения. Мониторинг безопасности терапии при ХГС проводится аналогично острому ГС. </w:t>
      </w:r>
    </w:p>
    <w:p w:rsidR="00000000" w:rsidRDefault="00130552">
      <w:pPr>
        <w:pStyle w:val="a6"/>
        <w:ind w:left="708" w:hanging="708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Комбинированная терапия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Рекомендованной к применению комбинированной терапией является сочетание альфа-интерферона с рибавирином для следующих категорий боль</w:t>
      </w:r>
      <w:r>
        <w:rPr>
          <w:rFonts w:ascii="Times New Roman" w:hAnsi="Times New Roman" w:cs="Times New Roman"/>
          <w:sz w:val="28"/>
        </w:rPr>
        <w:t>ных ХГС: - пациентов, у которых выявлены неблагоприятные прогностические факторы, указывающие на низкий уровень эффективности монотерапии ИФН и которые не лечились ранее препаратами интерферона; - пациентов, у которых произошел рецидив болезни после прекра</w:t>
      </w:r>
      <w:r>
        <w:rPr>
          <w:rFonts w:ascii="Times New Roman" w:hAnsi="Times New Roman" w:cs="Times New Roman"/>
          <w:sz w:val="28"/>
        </w:rPr>
        <w:t xml:space="preserve">щения лечения интерферонами. Мониторинг эффективности и безопасности комбинированной терапии аналогичен таковому при проведении монотерапии ИФН и дополнительно включает в себя тестовый контроль на беременность с целью ее исключения в течение всего периода </w:t>
      </w:r>
      <w:r>
        <w:rPr>
          <w:rFonts w:ascii="Times New Roman" w:hAnsi="Times New Roman" w:cs="Times New Roman"/>
          <w:sz w:val="28"/>
        </w:rPr>
        <w:t>лечения и 4-6 мес. после его окончания. Эффективность комбинированной терапии у больных, которые не отвечали на монотерапию интерфероном, в настоящее время находится в стадии изучения. Пациенты могут участвовать в исследовании различных схем лечения в рамк</w:t>
      </w:r>
      <w:r>
        <w:rPr>
          <w:rFonts w:ascii="Times New Roman" w:hAnsi="Times New Roman" w:cs="Times New Roman"/>
          <w:sz w:val="28"/>
        </w:rPr>
        <w:t xml:space="preserve">ах Протокола клинических испытаний.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Лечение урсодезоксихолиевой кислотой (УДХК)</w:t>
      </w:r>
      <w:r>
        <w:rPr>
          <w:rFonts w:ascii="Times New Roman" w:hAnsi="Times New Roman" w:cs="Times New Roman"/>
          <w:sz w:val="28"/>
        </w:rPr>
        <w:t xml:space="preserve"> Использование УДХК в лечении ХГС является вспомогательным средством. Основным показанием для назначения УДХК следует считать наличие холестаза. Сочетание с интерферонами не ув</w:t>
      </w:r>
      <w:r>
        <w:rPr>
          <w:rFonts w:ascii="Times New Roman" w:hAnsi="Times New Roman" w:cs="Times New Roman"/>
          <w:sz w:val="28"/>
        </w:rPr>
        <w:t xml:space="preserve">еличивает эффективность альфа-интерферонов в отношении элиминации ВГС, но может уменьшить частоту биохимического рецидива заболевания.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Лечение хронического гепатита С у больных с аутоиммунными нарушениями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Терапия противовирусными препаратами в настоящее </w:t>
      </w:r>
      <w:r>
        <w:rPr>
          <w:rFonts w:ascii="Times New Roman" w:hAnsi="Times New Roman" w:cs="Times New Roman"/>
          <w:sz w:val="28"/>
        </w:rPr>
        <w:t>время находится в стадии накопления клинического опыта. Лечение, особенно препаратами интерферона, следует назначать строго индивидуально, желательно в рамках Протокола клинических испытаний, обеспечивающего безопасность терапии. При выраженной клинической</w:t>
      </w:r>
      <w:r>
        <w:rPr>
          <w:rFonts w:ascii="Times New Roman" w:hAnsi="Times New Roman" w:cs="Times New Roman"/>
          <w:sz w:val="28"/>
        </w:rPr>
        <w:t xml:space="preserve"> и лабораторной картине аутоиммунного заболевания, особенно аутоиммунного гепатита, предпочтение в начале лечения следует отдать преднизолонотерапии.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Лечение хронического гепатита С у детей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Программа лечения детей с ХГС должна включать в себя только те п</w:t>
      </w:r>
      <w:r>
        <w:rPr>
          <w:rFonts w:ascii="Times New Roman" w:hAnsi="Times New Roman" w:cs="Times New Roman"/>
          <w:sz w:val="28"/>
        </w:rPr>
        <w:t>репараты, безопасность и эффективность которых не вызывает сомнения. Ввиду вялотекущего течения хронического гепатита С и того, что эффективность применения интерферонов у детей находится в стадии изучения, ИФН-терапию детям целесообразно назначать в рамка</w:t>
      </w:r>
      <w:r>
        <w:rPr>
          <w:rFonts w:ascii="Times New Roman" w:hAnsi="Times New Roman" w:cs="Times New Roman"/>
          <w:sz w:val="28"/>
        </w:rPr>
        <w:t xml:space="preserve">х Протокола клинических испытаний.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Варианты лечения хронического гепатита С в стадии выраженного фиброза или компенсированного цирроза печени (класс А по Чайльд-Пью)</w:t>
      </w:r>
      <w:r>
        <w:rPr>
          <w:rFonts w:ascii="Times New Roman" w:hAnsi="Times New Roman" w:cs="Times New Roman"/>
          <w:sz w:val="28"/>
        </w:rPr>
        <w:t xml:space="preserve"> Лечение подобного контингента больных остается проблематичным из-за небольшой эффективнос</w:t>
      </w:r>
      <w:r>
        <w:rPr>
          <w:rFonts w:ascii="Times New Roman" w:hAnsi="Times New Roman" w:cs="Times New Roman"/>
          <w:sz w:val="28"/>
        </w:rPr>
        <w:t xml:space="preserve">ти современных терапевтических средств и плохой их переносимости.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Предпочтительным является назначение комбинации альфа-интерферона с рибавирином в рамках Протокола клинических испытаний. При отсутствии эффекта или наличии противопоказаний к рибавирину мо</w:t>
      </w:r>
      <w:r>
        <w:rPr>
          <w:rFonts w:ascii="Times New Roman" w:hAnsi="Times New Roman" w:cs="Times New Roman"/>
          <w:sz w:val="28"/>
        </w:rPr>
        <w:t>жет применяться длительная монотерапия ИФН с целью получения и сохранения биохимического ответа. Такая стратегия может замедлять прогрессирование болезни, угнетая фиброгенез, и снизить риск развития рака печени. Обязательным является мониторинг исследовани</w:t>
      </w:r>
      <w:r>
        <w:rPr>
          <w:rFonts w:ascii="Times New Roman" w:hAnsi="Times New Roman" w:cs="Times New Roman"/>
          <w:sz w:val="28"/>
        </w:rPr>
        <w:t xml:space="preserve">й, включающий помимо ежемесячного контроля биохимических и клинических показателей крови определение концентрации протромбина, ?-фетопротеина  и УЗИ каждые 6 месяцев.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Интерферонотерапия больных хроническим гепатитом С с сопутствующими заболеваниями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За по</w:t>
      </w:r>
      <w:r>
        <w:rPr>
          <w:rFonts w:ascii="Times New Roman" w:hAnsi="Times New Roman" w:cs="Times New Roman"/>
          <w:sz w:val="28"/>
        </w:rPr>
        <w:t>следние годы выработаны четкие критерии обоснования назначения интерферонотерапии при хроническом гепатите С. Это в первую очередь профилактика развития цирроза печени (ЦП) и гепатоцеллюлярной карциномы (ГЦК), как исходов хронического гепатита. У пациентов</w:t>
      </w:r>
      <w:r>
        <w:rPr>
          <w:rFonts w:ascii="Times New Roman" w:hAnsi="Times New Roman" w:cs="Times New Roman"/>
          <w:sz w:val="28"/>
        </w:rPr>
        <w:t xml:space="preserve"> без сопутствующей патологии схемы применения ИФН отработаны и подход к лечению унифицирован. Лечение больных с сопутствующей патологией требует особого подхода, т.е. выработки специальной тактики интерферонотерапии. Этот очень важный принцип индивидуализа</w:t>
      </w:r>
      <w:r>
        <w:rPr>
          <w:rFonts w:ascii="Times New Roman" w:hAnsi="Times New Roman" w:cs="Times New Roman"/>
          <w:sz w:val="28"/>
        </w:rPr>
        <w:t>ции лечения помогает просчитать соотношение целесообразность/безопасность и избежать необоснованной терапии и ее осложнений у больного с хроническим гепатитом С и сопутствующим заболеванием. В связи с этим важно убедиться в том, что терапия интерфероном де</w:t>
      </w:r>
      <w:r>
        <w:rPr>
          <w:rFonts w:ascii="Times New Roman" w:hAnsi="Times New Roman" w:cs="Times New Roman"/>
          <w:sz w:val="28"/>
        </w:rPr>
        <w:t xml:space="preserve">йствительно обоснована у данного конкретного пациента (наличие репликации ВГС, наличие стойкого или волнообразного повышения активности АЛТ, в сочетании с умеренной или выраженной активностью гепатита по данным морфологического исследования печени). </w:t>
      </w:r>
      <w:r>
        <w:rPr>
          <w:rFonts w:ascii="Times New Roman" w:hAnsi="Times New Roman" w:cs="Times New Roman"/>
          <w:sz w:val="28"/>
        </w:rPr>
        <w:br/>
        <w:t>При о</w:t>
      </w:r>
      <w:r>
        <w:rPr>
          <w:rFonts w:ascii="Times New Roman" w:hAnsi="Times New Roman" w:cs="Times New Roman"/>
          <w:sz w:val="28"/>
        </w:rPr>
        <w:t>пределении показаний к лечению интерфероном у пациента с гепатитом С и сопутствующими заболеваниями очень важно оценить, какая патология является ведущей. Решающим фактором может служить темп прогрессирования сопутствующего заболевания. При  наличии  сопут</w:t>
      </w:r>
      <w:r>
        <w:rPr>
          <w:rFonts w:ascii="Times New Roman" w:hAnsi="Times New Roman" w:cs="Times New Roman"/>
          <w:sz w:val="28"/>
        </w:rPr>
        <w:t xml:space="preserve">ствующего заболевания с быстрой прогрессией  от терапии интерфероном гепатита С в большинстве случаев следует воздержаться из-за риска осложнений интерферонотерапии, которые могут в свою очередь увеличить темп прогрессии сопутствующего заболевания.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Терапи</w:t>
      </w:r>
      <w:r>
        <w:rPr>
          <w:rFonts w:ascii="Times New Roman" w:hAnsi="Times New Roman" w:cs="Times New Roman"/>
          <w:b/>
          <w:bCs/>
          <w:i/>
          <w:iCs/>
          <w:sz w:val="28"/>
        </w:rPr>
        <w:t>я интерфероном хронического гепатита С у ВИЧ - инфицированных пациентов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Обоснованием назначения интерферона у данной группы пациентов является наличие активного гепатита С (повышение активности трансаминаз, РНК ВГС в сыворотке, морфологические данные, сви</w:t>
      </w:r>
      <w:r>
        <w:rPr>
          <w:rFonts w:ascii="Times New Roman" w:hAnsi="Times New Roman" w:cs="Times New Roman"/>
          <w:sz w:val="28"/>
        </w:rPr>
        <w:t xml:space="preserve">детельствующие об активном хроническом гепатите).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Лечение интерфероном у этой категории больных можно проводить в рамках клинических испытаний при отсутствии симптомов ВИЧ-инфекции и выраженной иммуносупрессии (содержание CD4+ клеток более 500/мкл). При э</w:t>
      </w:r>
      <w:r>
        <w:rPr>
          <w:rFonts w:ascii="Times New Roman" w:hAnsi="Times New Roman" w:cs="Times New Roman"/>
          <w:sz w:val="28"/>
        </w:rPr>
        <w:t xml:space="preserve">том должны использоваться стандартные дозы препаратов. При условии тщательного мониторинга за уровнем CD4+ клеток и РНК ВИЧ возможно проведение комбинированного лечения: ИФН + рибавирин. </w:t>
      </w:r>
      <w:r>
        <w:rPr>
          <w:rFonts w:ascii="Times New Roman" w:hAnsi="Times New Roman" w:cs="Times New Roman"/>
          <w:sz w:val="28"/>
        </w:rPr>
        <w:br/>
        <w:t>Перспективными являются исследования по безопасности и эффективности</w:t>
      </w:r>
      <w:r>
        <w:rPr>
          <w:rFonts w:ascii="Times New Roman" w:hAnsi="Times New Roman" w:cs="Times New Roman"/>
          <w:sz w:val="28"/>
        </w:rPr>
        <w:t xml:space="preserve"> проведения антиретровирусной терапии в сочетании с терапией интерфероном у ВГС-ВИЧ коинфицированных пациентов. Их целью является разработка четких показаний к такой терапии, основанных на комплексе показателей: результатов пункционной биопсии печени, имму</w:t>
      </w:r>
      <w:r>
        <w:rPr>
          <w:rFonts w:ascii="Times New Roman" w:hAnsi="Times New Roman" w:cs="Times New Roman"/>
          <w:sz w:val="28"/>
        </w:rPr>
        <w:t xml:space="preserve">нного статуса, стадии ВИЧ-инфекции с учетом уровня вирусной нагрузки и генотипа ВГС.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Лечение хронического гепатита С у больных  туберкулезом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Эффективность и безопасность лечения интерфероном хронического гепатита С у больных туберкулезом не изучена. Канд</w:t>
      </w:r>
      <w:r>
        <w:rPr>
          <w:rFonts w:ascii="Times New Roman" w:hAnsi="Times New Roman" w:cs="Times New Roman"/>
          <w:sz w:val="28"/>
        </w:rPr>
        <w:t>идатами на проведение интерферонотерапии по поводу хронического гепатита С в рамках клинических испытаний с использованием стандартных доз ИФН могут являться больные туберкулезом в стадии ремиссии, имеющие клинико-лабораторные и морфологические признаки ак</w:t>
      </w:r>
      <w:r>
        <w:rPr>
          <w:rFonts w:ascii="Times New Roman" w:hAnsi="Times New Roman" w:cs="Times New Roman"/>
          <w:sz w:val="28"/>
        </w:rPr>
        <w:t xml:space="preserve">тивно текущего гепатита С.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Лечение хронического гепатита С у больных  алкоголизмом и наркоманией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Условием назначения интерферонотерапии гепатита С может быть только полный отказ от употребления алкоголя. Терапия интерфероном лиц, продолжающих употреблять</w:t>
      </w:r>
      <w:r>
        <w:rPr>
          <w:rFonts w:ascii="Times New Roman" w:hAnsi="Times New Roman" w:cs="Times New Roman"/>
          <w:sz w:val="28"/>
        </w:rPr>
        <w:t xml:space="preserve"> наркотики внутривенно, нецелесообразна из-за высокого риска реинфицирования и осложнений интерферонотерапии на фоне наркотизации. Условием назначения интерферона лицам, употреблявшим наркотики, может быть только полный отказ от приёма наркотиков и наличие</w:t>
      </w:r>
      <w:r>
        <w:rPr>
          <w:rFonts w:ascii="Times New Roman" w:hAnsi="Times New Roman" w:cs="Times New Roman"/>
          <w:sz w:val="28"/>
        </w:rPr>
        <w:t xml:space="preserve"> 2-х месячного периода ремиссии от последнего употребления наркотика, отсутствие психической и физической зависимости, требующей лекарственной терапии, отсутствие депрессии. </w:t>
      </w:r>
      <w:r>
        <w:rPr>
          <w:rFonts w:ascii="Times New Roman" w:hAnsi="Times New Roman" w:cs="Times New Roman"/>
          <w:sz w:val="28"/>
        </w:rPr>
        <w:br/>
        <w:t>Лечение указанных категорий пациентов должно проводиться с использованием стандар</w:t>
      </w:r>
      <w:r>
        <w:rPr>
          <w:rFonts w:ascii="Times New Roman" w:hAnsi="Times New Roman" w:cs="Times New Roman"/>
          <w:sz w:val="28"/>
        </w:rPr>
        <w:t xml:space="preserve">тных доз ИФН.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Лечение хронического гепатита С у пациентов с патологией почек</w:t>
      </w:r>
      <w:r>
        <w:rPr>
          <w:rFonts w:ascii="Times New Roman" w:hAnsi="Times New Roman" w:cs="Times New Roman"/>
          <w:sz w:val="28"/>
        </w:rPr>
        <w:t xml:space="preserve"> Принципиально отличаются подходы к назначению ИФН-терапии у больных с хронической почечной недостаточностью (ХПН), находящихся на программном гемодиализе, в зависимости от планир</w:t>
      </w:r>
      <w:r>
        <w:rPr>
          <w:rFonts w:ascii="Times New Roman" w:hAnsi="Times New Roman" w:cs="Times New Roman"/>
          <w:sz w:val="28"/>
        </w:rPr>
        <w:t>уемой трансплантации почки. У больных, которым не планируется пересадка почки, лечение ИФН назначается при наличии морфологически выраженных изменений в ткани печени, т.к. активность АЛТ не отражает в большинстве случаев активность ХГС. Пункционная биопсия</w:t>
      </w:r>
      <w:r>
        <w:rPr>
          <w:rFonts w:ascii="Times New Roman" w:hAnsi="Times New Roman" w:cs="Times New Roman"/>
          <w:sz w:val="28"/>
        </w:rPr>
        <w:t xml:space="preserve"> печени у них проводится с учетом общепринятых противопоказаний. Пациентам с ХГС, которые находятся в ходе подготовки к пересадке почки, можно назначать ИФН без учета данных морфологического исследования печени, в стандартной дозе, после каждого сеанса гем</w:t>
      </w:r>
      <w:r>
        <w:rPr>
          <w:rFonts w:ascii="Times New Roman" w:hAnsi="Times New Roman" w:cs="Times New Roman"/>
          <w:sz w:val="28"/>
        </w:rPr>
        <w:t xml:space="preserve">одиализа, в рамках Протокола клинических испытаний. Применение рибавирина у этой категории больных противопоказано в связи с риском накопления метаболитов рибавирина в эритроцитах. </w:t>
      </w:r>
      <w:r>
        <w:rPr>
          <w:rFonts w:ascii="Times New Roman" w:hAnsi="Times New Roman" w:cs="Times New Roman"/>
          <w:sz w:val="28"/>
        </w:rPr>
        <w:br/>
        <w:t xml:space="preserve">Больным, подвергшимся аллотрансплантации почек, назначать ИФН для лечения </w:t>
      </w:r>
      <w:r>
        <w:rPr>
          <w:rFonts w:ascii="Times New Roman" w:hAnsi="Times New Roman" w:cs="Times New Roman"/>
          <w:sz w:val="28"/>
        </w:rPr>
        <w:t xml:space="preserve">хронического гепатита С не рекомендуется, т.к. это может повысить риск отторжения трансплантата. У этой категории больных перспективным представляется изучение эффективности монотерапии рибавирином.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Лечение интерфероном хронического гепатита С у больных  </w:t>
      </w:r>
      <w:r>
        <w:rPr>
          <w:rFonts w:ascii="Times New Roman" w:hAnsi="Times New Roman" w:cs="Times New Roman"/>
          <w:b/>
          <w:bCs/>
          <w:i/>
          <w:iCs/>
          <w:sz w:val="28"/>
        </w:rPr>
        <w:t>сахарным диабетом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Эффективность и безопасность применения препаратов ИФН для лечения гепатита С у больных сахарным диабетом, получающих инсулин, не изучена. У больных диабетом лечение интерфероном следует проводить с использованием стандартных доз в рамка</w:t>
      </w:r>
      <w:r>
        <w:rPr>
          <w:rFonts w:ascii="Times New Roman" w:hAnsi="Times New Roman" w:cs="Times New Roman"/>
          <w:sz w:val="28"/>
        </w:rPr>
        <w:t xml:space="preserve">х клинических исследований. Противопоказанием к лечению интерфероном является декомпенсированный сахарный диабет.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Лечение интерфероном больных хроническим гепатитом С и гемофилией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Больным с тяжелой формой гемофилии проведение интерферонотерапии не рекоме</w:t>
      </w:r>
      <w:r>
        <w:rPr>
          <w:rFonts w:ascii="Times New Roman" w:hAnsi="Times New Roman" w:cs="Times New Roman"/>
          <w:sz w:val="28"/>
        </w:rPr>
        <w:t>ндуется (в связи с высоким риском образования гематом в местах инъекций). При гемофилии легкой и средней тяжести и наличии клинико-лабораторных показателей активности гепатита С в рамках клинических исследований возможно проведение ИФН-терапии с использова</w:t>
      </w:r>
      <w:r>
        <w:rPr>
          <w:rFonts w:ascii="Times New Roman" w:hAnsi="Times New Roman" w:cs="Times New Roman"/>
          <w:sz w:val="28"/>
        </w:rPr>
        <w:t xml:space="preserve">нием стандартных доз препарата. Перспективным является изучение эффективности комбинации ИФН + рибавирин. Пункционная биопсия печени пациентам с гемофилией не проводится.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Лечение интерфероном больных хроническим гепатитом С с онкологическими заболеваниями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Лечение хронического гепатита С у пациентов с онкологическими заболеваниями может проводиться с использованием стандартных доз ИФН в рамках клинических исследований при соблюдении следующих условий: клинико-лабораторные и морфологические показатели актив</w:t>
      </w:r>
      <w:r>
        <w:rPr>
          <w:rFonts w:ascii="Times New Roman" w:hAnsi="Times New Roman" w:cs="Times New Roman"/>
          <w:sz w:val="28"/>
        </w:rPr>
        <w:t xml:space="preserve">ности гепатита С, ремиссия по основному заболеванию, отсутствие лучевой терапии или химиотерапии. </w:t>
      </w:r>
    </w:p>
    <w:p w:rsidR="00000000" w:rsidRDefault="001305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Беременность и гепатит С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Вопросы перинатальной (вертикальной) передачи ВГС-вирусной инфекции (от матери к плоду во время беременности) остаются пока не до к</w:t>
      </w:r>
      <w:r>
        <w:rPr>
          <w:rFonts w:ascii="Times New Roman" w:hAnsi="Times New Roman" w:cs="Times New Roman"/>
          <w:sz w:val="28"/>
        </w:rPr>
        <w:t>онца изученными. Заражение ребенка возможно, если у матери имеется во время беременности и родов активная вирусная репликация. При этом в крови женщины обязательно обнаруживают РНК ВГС. Но даже в этих случаях вертикальный механизм передачи реализуется лишь</w:t>
      </w:r>
      <w:r>
        <w:rPr>
          <w:rFonts w:ascii="Times New Roman" w:hAnsi="Times New Roman" w:cs="Times New Roman"/>
          <w:sz w:val="28"/>
        </w:rPr>
        <w:t xml:space="preserve"> в 4-10% случаях, т.е. большинство новорожденных не инфицируется во время беременности и родов. </w:t>
      </w:r>
      <w:r>
        <w:rPr>
          <w:rFonts w:ascii="Times New Roman" w:hAnsi="Times New Roman" w:cs="Times New Roman"/>
          <w:sz w:val="28"/>
        </w:rPr>
        <w:br/>
        <w:t>Горизонтальная передача ГC-вируса возможна при тесных контактах матери и ребенка, особенно в первые месяцы жизни, и связана с микротравматизацией слизистых и к</w:t>
      </w:r>
      <w:r>
        <w:rPr>
          <w:rFonts w:ascii="Times New Roman" w:hAnsi="Times New Roman" w:cs="Times New Roman"/>
          <w:sz w:val="28"/>
        </w:rPr>
        <w:t>ожных покровов. При отсутствии повреждения молочной железы (трещин) у родильниц  ребенок может находиться на грудном вскармливании. Выявление анти-ВГС у беременной женщины не является показанием к искусственному прерыванию беременности или родоразрешению с</w:t>
      </w:r>
      <w:r>
        <w:rPr>
          <w:rFonts w:ascii="Times New Roman" w:hAnsi="Times New Roman" w:cs="Times New Roman"/>
          <w:sz w:val="28"/>
        </w:rPr>
        <w:t xml:space="preserve"> помощью кесарева сечения. </w:t>
      </w:r>
      <w:r>
        <w:rPr>
          <w:rFonts w:ascii="Times New Roman" w:hAnsi="Times New Roman" w:cs="Times New Roman"/>
          <w:sz w:val="28"/>
        </w:rPr>
        <w:br/>
        <w:t>Лечение гепатита С во время беременности этиотропными препаратами не проводится. При сроках обследования детей, родившихся от матерей с анти-ВГС, необходимо учитывать, что материнские анти-ВГС могут циркулировать в крови ребенка</w:t>
      </w:r>
      <w:r>
        <w:rPr>
          <w:rFonts w:ascii="Times New Roman" w:hAnsi="Times New Roman" w:cs="Times New Roman"/>
          <w:sz w:val="28"/>
        </w:rPr>
        <w:t xml:space="preserve"> до 1,5 лет. Вследствие этого, не рекомендуется проводить раннее (до 1 года жизни) или частое обследование детей на анти-ВГС, т.е. выявление их до 1-1,5 лет может способствовать ложной диагностике гепатита С у ребенка. У большинства детей, рожденных от мат</w:t>
      </w:r>
      <w:r>
        <w:rPr>
          <w:rFonts w:ascii="Times New Roman" w:hAnsi="Times New Roman" w:cs="Times New Roman"/>
          <w:sz w:val="28"/>
        </w:rPr>
        <w:t xml:space="preserve">ерей с анти-ВГС, к 1,5 годам анти-ВГС исчезают.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7"/>
        </w:rPr>
        <w:t>Спектр «открытых вопросов», требующих изучения.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Главным, всё ещё не решенным, остаётся вопрос о создании вакцины против гепатита С  и следующие вопросы: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Клиника</w:t>
      </w:r>
    </w:p>
    <w:p w:rsidR="00000000" w:rsidRDefault="00130552">
      <w:pPr>
        <w:pStyle w:val="a6"/>
        <w:ind w:left="450" w:hanging="45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1. Что является критерием полного выздоровлен</w:t>
      </w:r>
      <w:r>
        <w:rPr>
          <w:rFonts w:ascii="Times New Roman" w:hAnsi="Times New Roman" w:cs="Times New Roman"/>
          <w:sz w:val="28"/>
        </w:rPr>
        <w:t xml:space="preserve">ия при остром гепатите С? </w:t>
      </w:r>
    </w:p>
    <w:p w:rsidR="00000000" w:rsidRDefault="00130552">
      <w:pPr>
        <w:pStyle w:val="a6"/>
        <w:ind w:left="450" w:hanging="4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Какие факторы способствуют прогрессирующему и непрогрессирующему естественному течению процесса при ВГС-инфекции? </w:t>
      </w:r>
    </w:p>
    <w:p w:rsidR="00000000" w:rsidRDefault="00130552">
      <w:pPr>
        <w:pStyle w:val="a6"/>
        <w:ind w:left="450" w:hanging="4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Возможно ли полное выздоровление после проведенной специфической терапии?</w:t>
      </w:r>
    </w:p>
    <w:p w:rsidR="00000000" w:rsidRDefault="00130552">
      <w:pPr>
        <w:pStyle w:val="a6"/>
        <w:ind w:left="450" w:hanging="4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Каковы морфологические изменени</w:t>
      </w:r>
      <w:r>
        <w:rPr>
          <w:rFonts w:ascii="Times New Roman" w:hAnsi="Times New Roman" w:cs="Times New Roman"/>
          <w:sz w:val="28"/>
        </w:rPr>
        <w:t xml:space="preserve">я у лиц со стабильной клинико-биохимической и вирусологической ремиссией - спонтанной и после лечения?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Диагностика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5. Каково значение антител к белкам, кодируемым различными зонами РНК ВГС при различных формах ВГС-инфекции?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Имеются ли и каковы они - </w:t>
      </w:r>
      <w:r>
        <w:rPr>
          <w:rFonts w:ascii="Times New Roman" w:hAnsi="Times New Roman" w:cs="Times New Roman"/>
          <w:sz w:val="28"/>
        </w:rPr>
        <w:t xml:space="preserve">новые диагностические признаки ОГС и ХГС в отсутствие желтухи ?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III. Эпидемиология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7. Причины территориальной неравномерности распространения гепатита С?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Какова активность естественных путей передачи ВГС ?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IV. Служба Крови</w:t>
      </w:r>
      <w:r>
        <w:rPr>
          <w:rFonts w:ascii="Times New Roman" w:hAnsi="Times New Roman" w:cs="Times New Roman"/>
          <w:sz w:val="28"/>
        </w:rPr>
        <w:t xml:space="preserve">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 Каков остаточный риск </w:t>
      </w:r>
      <w:r>
        <w:rPr>
          <w:rFonts w:ascii="Times New Roman" w:hAnsi="Times New Roman" w:cs="Times New Roman"/>
          <w:sz w:val="28"/>
        </w:rPr>
        <w:t xml:space="preserve">инфицирования реципиентов компонентами крови доноров? </w:t>
      </w:r>
    </w:p>
    <w:p w:rsidR="00000000" w:rsidRDefault="0013055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V. Лечение</w:t>
      </w:r>
      <w:r>
        <w:rPr>
          <w:rFonts w:ascii="Times New Roman" w:hAnsi="Times New Roman" w:cs="Times New Roman"/>
          <w:sz w:val="28"/>
        </w:rPr>
        <w:t xml:space="preserve"> </w:t>
      </w:r>
    </w:p>
    <w:p w:rsidR="00000000" w:rsidRDefault="00130552">
      <w:pPr>
        <w:pStyle w:val="a6"/>
        <w:ind w:left="300" w:hanging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Несмотря на то, что индукторы интерферона и непарентеральная форма интерферона рекомендованы МЗ РФ к применению у больных ОГС и ХГС, участники конференции считают необходимым продолжени</w:t>
      </w:r>
      <w:r>
        <w:rPr>
          <w:rFonts w:ascii="Times New Roman" w:hAnsi="Times New Roman" w:cs="Times New Roman"/>
          <w:sz w:val="28"/>
        </w:rPr>
        <w:t xml:space="preserve">е изучения  эффективности  этих препаратов в контролированных исследованиях. </w:t>
      </w:r>
    </w:p>
    <w:p w:rsidR="00000000" w:rsidRDefault="00130552">
      <w:pPr>
        <w:pStyle w:val="a6"/>
        <w:tabs>
          <w:tab w:val="left" w:pos="300"/>
        </w:tabs>
        <w:ind w:left="300" w:hanging="3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Необходимо усовершенствовать и внедрить «унифицированные»  карты мониторинга исследования» больных острым и хроническим гепатитом С, получающих лечение противовирусными препа</w:t>
      </w:r>
      <w:r>
        <w:rPr>
          <w:rFonts w:ascii="Times New Roman" w:hAnsi="Times New Roman" w:cs="Times New Roman"/>
          <w:sz w:val="28"/>
        </w:rPr>
        <w:t xml:space="preserve">ратами. </w:t>
      </w:r>
      <w:r>
        <w:rPr>
          <w:rFonts w:ascii="Times New Roman" w:hAnsi="Times New Roman" w:cs="Times New Roman"/>
          <w:sz w:val="28"/>
        </w:rPr>
        <w:br/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63"/>
        <w:gridCol w:w="4263"/>
      </w:tblGrid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center"/>
              <w:rPr>
                <w:rFonts w:eastAsia="Arial Unicode MS"/>
              </w:rPr>
            </w:pPr>
            <w:r>
              <w:t>Можно рекомендовать в настоящее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center"/>
              <w:rPr>
                <w:rFonts w:eastAsia="Arial Unicode MS"/>
              </w:rPr>
            </w:pPr>
            <w:r>
              <w:t> Необходимо изучать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center"/>
              <w:rPr>
                <w:rFonts w:eastAsia="Arial Unicode MS"/>
              </w:rPr>
            </w:pPr>
            <w:r>
              <w:rPr>
                <w:b/>
                <w:bCs/>
              </w:rPr>
              <w:t>Острый гепатит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center"/>
              <w:rPr>
                <w:rFonts w:eastAsia="Arial Unicode MS"/>
              </w:rPr>
            </w:pPr>
            <w:r>
              <w:rPr>
                <w:b/>
                <w:bCs/>
              </w:rPr>
              <w:t>Острый гепатит С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3 млн МЕ альфа-ИФН трижды в неделю в течение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Оптимальная схема и длительность ИФН-терапии (ежедневное введение, более 6 мес.).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center"/>
              <w:rPr>
                <w:rFonts w:eastAsia="Arial Unicode MS"/>
              </w:rPr>
            </w:pPr>
            <w:r>
              <w:rPr>
                <w:b/>
                <w:bCs/>
              </w:rPr>
              <w:t>Хронический геп</w:t>
            </w:r>
            <w:r>
              <w:rPr>
                <w:b/>
                <w:bCs/>
              </w:rPr>
              <w:t>атит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center"/>
              <w:rPr>
                <w:rFonts w:eastAsia="Arial Unicode MS"/>
              </w:rPr>
            </w:pPr>
            <w:r>
              <w:rPr>
                <w:b/>
                <w:bCs/>
              </w:rPr>
              <w:t>Хронический гепатит С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Стандартная монотерапия ?- интерфероном - 3 млн МЕ трижды в неделю у больных с благоприятными для эффективности прогностическими признаками в течение 12 мес., если РНК ВГС перестаёт обнаруживаться через 3 мес. от начала лечени</w:t>
            </w:r>
            <w:r>
              <w:t>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Исследование новых схем монотерапии ИФН (ежедневное введение, повышение дозы).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 xml:space="preserve">Комбинированная терапия а-ИФН-3 млн МЕ трижды в неделю с ребетолом 1000-1200 мг. Ежедневно для следующих категорий больных: </w:t>
            </w:r>
            <w:r>
              <w:br/>
              <w:t xml:space="preserve">1. Не получавших ранее ИФН-терапии. </w:t>
            </w:r>
            <w:r>
              <w:br/>
              <w:t>2. С рециди</w:t>
            </w:r>
            <w:r>
              <w:t>вом после отмены ИФН-терапии.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Исследование эффективности комбини-рованной терапии у категории «неответивших» на ИФН-терапию.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Изучение эффективности парентеральных форм а-ИФН у детей.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left"/>
              <w:rPr>
                <w:rFonts w:eastAsia="Arial Unicode MS"/>
              </w:rPr>
            </w:pPr>
            <w:r>
              <w:t>Изучение эффективности и безопасности новых препаратов, не утвержд</w:t>
            </w:r>
            <w:r>
              <w:t>енных для лечения ГС (иммуномодуляторов, противовирусных, биодобавок и т.п.).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left"/>
              <w:rPr>
                <w:rFonts w:eastAsia="Arial Unicode MS"/>
              </w:rPr>
            </w:pPr>
            <w:r>
              <w:t>Изучение эффективности комбини-рованной терапии а-ИФН с ремантадином.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left"/>
              <w:rPr>
                <w:rFonts w:eastAsia="Arial Unicode MS"/>
              </w:rPr>
            </w:pPr>
            <w:r>
              <w:t xml:space="preserve">Изучение эффективности и безопасности этиотропной терапии ХГС у лиц: </w:t>
            </w:r>
            <w:r>
              <w:br/>
              <w:t xml:space="preserve">-с аутоиммунными нарушениями; </w:t>
            </w:r>
            <w:r>
              <w:br/>
              <w:t>-</w:t>
            </w:r>
            <w:r>
              <w:t xml:space="preserve">с тяжелыми сопутствующими заболе-ваниями; </w:t>
            </w:r>
            <w:r>
              <w:br/>
              <w:t xml:space="preserve">-с микст-гепатитами (B и D); </w:t>
            </w:r>
            <w:r>
              <w:br/>
              <w:t>-у ВИЧ-инфицированных.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center"/>
              <w:rPr>
                <w:rFonts w:eastAsia="Arial Unicode MS"/>
              </w:rPr>
            </w:pPr>
            <w:r>
              <w:rPr>
                <w:b/>
                <w:bCs/>
              </w:rPr>
              <w:t>Цирроз печени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center"/>
              <w:rPr>
                <w:rFonts w:eastAsia="Arial Unicode MS"/>
              </w:rPr>
            </w:pPr>
            <w:r>
              <w:rPr>
                <w:b/>
                <w:bCs/>
              </w:rPr>
              <w:t>Цирроз печени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Длительная монотерапия ИФН при условии сохранения  положительного биохимического ответа во время лечения.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jc w:val="left"/>
              <w:rPr>
                <w:rFonts w:eastAsia="Arial Unicode MS"/>
              </w:rPr>
            </w:pPr>
            <w:r>
              <w:t>Изучение эффективности к</w:t>
            </w:r>
            <w:r>
              <w:t>омбинированной терапии а-ИФН с рибавирином.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УДХК в случаях развития холестаза.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30552">
            <w:pPr>
              <w:rPr>
                <w:rFonts w:eastAsia="Arial Unicode MS"/>
              </w:rPr>
            </w:pPr>
            <w:r>
              <w:t> </w:t>
            </w:r>
          </w:p>
        </w:tc>
      </w:tr>
    </w:tbl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Современное лечение хронических гепатитов и циррозов печени основывается на следующих основных направлениях: этиологическом (устранение или подавление причины заболевания); </w:t>
      </w:r>
      <w:r>
        <w:rPr>
          <w:rFonts w:ascii="Times New Roman" w:hAnsi="Times New Roman" w:cs="Times New Roman"/>
          <w:sz w:val="28"/>
        </w:rPr>
        <w:t>воздействии на механизмы, которые обусловливают прогрессирование патологического процесса; коррекции нарушений, связанных с изменением функции печени; уменьшении выраженности болезненных симптомов и терапии (профилактике) осложнений.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диффузных заболева</w:t>
      </w:r>
      <w:r>
        <w:rPr>
          <w:rFonts w:ascii="Times New Roman" w:hAnsi="Times New Roman" w:cs="Times New Roman"/>
          <w:sz w:val="28"/>
        </w:rPr>
        <w:t>ниях печени, как и при всяком патологическом процессе, показан ряд общих мероприятий. В строгом постельном режиме большинство больных не нуждаются, за исключением выраженных признаков обострения (отчетливого холестаза, повышения активности аланинтрансамина</w:t>
      </w:r>
      <w:r>
        <w:rPr>
          <w:rFonts w:ascii="Times New Roman" w:hAnsi="Times New Roman" w:cs="Times New Roman"/>
          <w:sz w:val="28"/>
        </w:rPr>
        <w:t>зы более чем в 4-5 раз в сыворотке крови по сравнению с нормой). Состав диеты у больных довольно широк. Полностью должен быть исключен алкоголь, в период обострения ограничиваются копчености, жареные блюда, тугоплавкие жиры (сало). Вместе с тем, жиры являю</w:t>
      </w:r>
      <w:r>
        <w:rPr>
          <w:rFonts w:ascii="Times New Roman" w:hAnsi="Times New Roman" w:cs="Times New Roman"/>
          <w:sz w:val="28"/>
        </w:rPr>
        <w:t>тся естественным желчегонным средством, и поэтому их доля в суточном рационе (масло, маргарины) должна составлять около 35% от общей калорийности. Количество белка (растительного и животного) рекомендуется в пределах физиологической нормы (80-100 г/сутки),</w:t>
      </w:r>
      <w:r>
        <w:rPr>
          <w:rFonts w:ascii="Times New Roman" w:hAnsi="Times New Roman" w:cs="Times New Roman"/>
          <w:sz w:val="28"/>
        </w:rPr>
        <w:t xml:space="preserve"> а углеводов - 400- 500 г/сутки.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прогрессирующей печеночной недостаточности суточный рацион белка уменьшается до 40 г/сутки. Количество поваренной соли при задержке жидкости (портальная гипертензия) ограничивается до 2 г/сутки. Наличие холестаза сущест</w:t>
      </w:r>
      <w:r>
        <w:rPr>
          <w:rFonts w:ascii="Times New Roman" w:hAnsi="Times New Roman" w:cs="Times New Roman"/>
          <w:sz w:val="28"/>
        </w:rPr>
        <w:t>венно ограничивает усвоение жирорастворимых витаминов (A, D, Е). Кроме того, при диффузных заболеваниях печени повышена потребность в витаминах С, В6, В12, что необходимо учитывать при разработке индивидуальной диеты.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Длительное время этиотропная терапия х</w:t>
      </w:r>
      <w:r>
        <w:rPr>
          <w:rFonts w:ascii="Times New Roman" w:hAnsi="Times New Roman" w:cs="Times New Roman"/>
          <w:sz w:val="28"/>
        </w:rPr>
        <w:t>ронического гепатита и цирроза печени была затруднена. Это было связано с тем, что не было достаточно данных о причинах развития этих заболеваний. Только в 1994 году ведущими гепатологами было предложено одним из основных классификационных принципов при ди</w:t>
      </w:r>
      <w:r>
        <w:rPr>
          <w:rFonts w:ascii="Times New Roman" w:hAnsi="Times New Roman" w:cs="Times New Roman"/>
          <w:sz w:val="28"/>
        </w:rPr>
        <w:t xml:space="preserve">ффузных заболеваниях печени считать этиологический. В настоящее время установлено, что ведущим этиологическим фактором в развитии хронического гепатита и цирроза печени являются гепатотропные вирусы (В, С, D, G) с парентеральным путем их передачи. Причина </w:t>
      </w:r>
      <w:r>
        <w:rPr>
          <w:rFonts w:ascii="Times New Roman" w:hAnsi="Times New Roman" w:cs="Times New Roman"/>
          <w:sz w:val="28"/>
        </w:rPr>
        <w:t>аутоиммунного гепатита как самостоятельного заболевания пока еще недостаточно ясна. Механизм его развития связан с реакциями в иммунной системе, связанными с образованием аутоантител (против микросомальных антигенов клеток печени, их ядер и белков, специфи</w:t>
      </w:r>
      <w:r>
        <w:rPr>
          <w:rFonts w:ascii="Times New Roman" w:hAnsi="Times New Roman" w:cs="Times New Roman"/>
          <w:sz w:val="28"/>
        </w:rPr>
        <w:t>ческих для печени). Злоупотребление алкоголем рассматривается как возможная причина острого гепатита, жировой дистрофии печени и цирроза печени. Наркотики и некоторые лекарственные вещества, если и могут иметь самостоятельное этиологическое значение в разв</w:t>
      </w:r>
      <w:r>
        <w:rPr>
          <w:rFonts w:ascii="Times New Roman" w:hAnsi="Times New Roman" w:cs="Times New Roman"/>
          <w:sz w:val="28"/>
        </w:rPr>
        <w:t>итии хронических диффузных заболеваний печени, то сравнительно редко. Важно отметить, что алкоголь, наркотики и ряд лекарств могут способствовать развитию вирусной инфекции и содействовать при этом прогрессированию патологического процесса в печени.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</w:t>
      </w:r>
      <w:r>
        <w:rPr>
          <w:rFonts w:ascii="Times New Roman" w:hAnsi="Times New Roman" w:cs="Times New Roman"/>
          <w:sz w:val="28"/>
        </w:rPr>
        <w:t>е маркеров вирусов в сыворотке крови не всегда сочетается с проявлениями патологических изменений в печени. Возможно так называемое "носительство" вируса, при котором клинические признаки и морфологические изменения в печени отсутствуют. У значительного чи</w:t>
      </w:r>
      <w:r>
        <w:rPr>
          <w:rFonts w:ascii="Times New Roman" w:hAnsi="Times New Roman" w:cs="Times New Roman"/>
          <w:sz w:val="28"/>
        </w:rPr>
        <w:t xml:space="preserve">сла больных (их около 70%) хроническим гепатитом патологический процесс, связанный с инфицированием вирусом, как бы "застывает" на длительный срок (10 лет и более) на уровне минимальной активности без тенденции к прогрессированию. В недавнем прошлом такое </w:t>
      </w:r>
      <w:r>
        <w:rPr>
          <w:rFonts w:ascii="Times New Roman" w:hAnsi="Times New Roman" w:cs="Times New Roman"/>
          <w:sz w:val="28"/>
        </w:rPr>
        <w:t>благоприятное течение заболевания расценивалось как хронический персистирующий гепатит. И наконец, у ряда больных болезнь с самого начала приобретает умеренную и выраженную активность процесса, сравнительно быстро и неуклонно прогрессирует и через нескольк</w:t>
      </w:r>
      <w:r>
        <w:rPr>
          <w:rFonts w:ascii="Times New Roman" w:hAnsi="Times New Roman" w:cs="Times New Roman"/>
          <w:sz w:val="28"/>
        </w:rPr>
        <w:t>о лет трансформируется в цирроз печени, а у части из них переходит в гепатоцеллюлярную карциному. Ранее такой вариант заболевания с прогрессирующим течением назывался активный (агрессивный) гепатит.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при разработке тактики индивидуальной этио</w:t>
      </w:r>
      <w:r>
        <w:rPr>
          <w:rFonts w:ascii="Times New Roman" w:hAnsi="Times New Roman" w:cs="Times New Roman"/>
          <w:sz w:val="28"/>
        </w:rPr>
        <w:t>тропной терапии необходимо учитывать вид вируса, возможное их сочетание (микст- инфекция), активность заболевания, злоупотребление алкоголем, применение наркотиков, гепатотропных лекарств, выраженность иммунологических сдвигов.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появилась </w:t>
      </w:r>
      <w:r>
        <w:rPr>
          <w:rFonts w:ascii="Times New Roman" w:hAnsi="Times New Roman" w:cs="Times New Roman"/>
          <w:sz w:val="28"/>
        </w:rPr>
        <w:t>возможность определять целый ряд маркеров отдельных вирусов. Так, для вируса В характерны HBsAg, HBeAg, HBV DNA, для С -anti HCV, HCV RNA. У части больных с наличием клинических симптомов и морфологической картины хронических гепатитов и циррозов печени ма</w:t>
      </w:r>
      <w:r>
        <w:rPr>
          <w:rFonts w:ascii="Times New Roman" w:hAnsi="Times New Roman" w:cs="Times New Roman"/>
          <w:sz w:val="28"/>
        </w:rPr>
        <w:t>ркеры вирусов отсутствуют. В подобных случаях следует допустить или несовершенство современных методик для подтверждения наличия вирусной инфекции, или другую этиологию хронического заболевания печени у данного больного (например, аутоиммунную или токсичес</w:t>
      </w:r>
      <w:r>
        <w:rPr>
          <w:rFonts w:ascii="Times New Roman" w:hAnsi="Times New Roman" w:cs="Times New Roman"/>
          <w:sz w:val="28"/>
        </w:rPr>
        <w:t>кую, связанную со злоупотреблением алкоголем или наркотиками).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наличии у больного маркеров вирусов в сочетании с клиническими признаками активности процесса показана антивирусная терапия. При этом важным является создание наиболее благоприятных условий</w:t>
      </w:r>
      <w:r>
        <w:rPr>
          <w:rFonts w:ascii="Times New Roman" w:hAnsi="Times New Roman" w:cs="Times New Roman"/>
          <w:sz w:val="28"/>
        </w:rPr>
        <w:t xml:space="preserve"> для проведения такого лечения. Оно предусматривает полное исключение алкоголя, наркотиков, ограничение медикаментов.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основным этиотропным средством для лечения вирусных диффузных поражений печени является интерферон. Он представляет собо</w:t>
      </w:r>
      <w:r>
        <w:rPr>
          <w:rFonts w:ascii="Times New Roman" w:hAnsi="Times New Roman" w:cs="Times New Roman"/>
          <w:sz w:val="28"/>
        </w:rPr>
        <w:t>й сочетание пептидов, которые синтезируются лимфоцитами и макрофагами. Название "интерферон" происходит от слова интерференция (взаимное влияние). Было обращено внимание на факт защиты от вирусной инфекции, которая наблюдается какое-то время после перенесе</w:t>
      </w:r>
      <w:r>
        <w:rPr>
          <w:rFonts w:ascii="Times New Roman" w:hAnsi="Times New Roman" w:cs="Times New Roman"/>
          <w:sz w:val="28"/>
        </w:rPr>
        <w:t>нной инфекции, связанной с любым вирусом. Это связывается с влиянием синтезируемого во время болезни интерферона.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лечения вирусных гепатитов наибольшее распространение имеет интерферон - альфа, как получаемый из культуры лейкоцитов, так и рекомбинантны</w:t>
      </w:r>
      <w:r>
        <w:rPr>
          <w:rFonts w:ascii="Times New Roman" w:hAnsi="Times New Roman" w:cs="Times New Roman"/>
          <w:sz w:val="28"/>
        </w:rPr>
        <w:t>й, создаваемый с помощью генной инженерии (интрон А, роферон А, реаферон, реальдирон). Из препаратов интерферона-альфа наиболее труднодоступный и дорогой - человеческий лейкоцитарный интерферон, а наиболее доступный и дешевый - реаферон российского произво</w:t>
      </w:r>
      <w:r>
        <w:rPr>
          <w:rFonts w:ascii="Times New Roman" w:hAnsi="Times New Roman" w:cs="Times New Roman"/>
          <w:sz w:val="28"/>
        </w:rPr>
        <w:t>дства. Достоверных данных о различии терапевтической эффективности между человеческим нативным лейкоцитарным интерфероном и вариантами рекомбинантного интерферона не обнаружено. Имеются, правда, указания, согласно которым при применении рекомбинантного инт</w:t>
      </w:r>
      <w:r>
        <w:rPr>
          <w:rFonts w:ascii="Times New Roman" w:hAnsi="Times New Roman" w:cs="Times New Roman"/>
          <w:sz w:val="28"/>
        </w:rPr>
        <w:t>ерферона (реаферона), к нему могут образовываться антитела.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Тактика лечения хронических вирусных заболеваний печени интерфероном предусматривает учет ряда факторов. Прежде всего, это касается уточнения этиологии поражения печени у конкретного больного. В н</w:t>
      </w:r>
      <w:r>
        <w:rPr>
          <w:rFonts w:ascii="Times New Roman" w:hAnsi="Times New Roman" w:cs="Times New Roman"/>
          <w:sz w:val="28"/>
        </w:rPr>
        <w:t>астоящее время считается, что препараты интерферона показаны только больным с подтвержденной вирусной инфекцией. При этом имеет значение вид вируса (HBV, HCV, HDV, HGV) или сочетание нескольких вирусов (HBV и HCV или HBV и HDV) - микст-инфекция. Далее необ</w:t>
      </w:r>
      <w:r>
        <w:rPr>
          <w:rFonts w:ascii="Times New Roman" w:hAnsi="Times New Roman" w:cs="Times New Roman"/>
          <w:sz w:val="28"/>
        </w:rPr>
        <w:t>ходимо прямо или косвенно подтвердить (или исключить) репликацию (активную фазу размножения) вируса. Это возможно на основании серологических методик, которые различны для отдельных вирусов (например для вируса В маркерами репликации являются HBV DNA, HBeA</w:t>
      </w:r>
      <w:r>
        <w:rPr>
          <w:rFonts w:ascii="Times New Roman" w:hAnsi="Times New Roman" w:cs="Times New Roman"/>
          <w:sz w:val="28"/>
        </w:rPr>
        <w:t>g, НВСАbIgМ, для вируса С - HCV RNA). Серологические маркеры наиболее точно позволяют судить о репликации вирусов. Вместе с тем, методики прямого количественного определения вирусов (HBV DNA и HCV RNA) с помощью полимеразной цепной реакции (ПЦР), свидетель</w:t>
      </w:r>
      <w:r>
        <w:rPr>
          <w:rFonts w:ascii="Times New Roman" w:hAnsi="Times New Roman" w:cs="Times New Roman"/>
          <w:sz w:val="28"/>
        </w:rPr>
        <w:t>ствующие о репликации вируса, сложны, требуют много времени и связаны с большими материальными затратами. Косвенно о репликации вируса можно судить по активности процесса. Последняя определяется выраженностью клинических симптомов, степенью повышения актив</w:t>
      </w:r>
      <w:r>
        <w:rPr>
          <w:rFonts w:ascii="Times New Roman" w:hAnsi="Times New Roman" w:cs="Times New Roman"/>
          <w:sz w:val="28"/>
        </w:rPr>
        <w:t>ности аланинтрансферазы в сыворотке крови и по данным морфологического исследования печени с помощью пункционной биопсии. Следует отметить, что выраженная активность патологического процесса только тогда свидетельствует о репликации вируса, когда в сыворот</w:t>
      </w:r>
      <w:r>
        <w:rPr>
          <w:rFonts w:ascii="Times New Roman" w:hAnsi="Times New Roman" w:cs="Times New Roman"/>
          <w:sz w:val="28"/>
        </w:rPr>
        <w:t xml:space="preserve">ке крови или в ткани печени обнаруживаются его маркеры. Можно так же отметить, что у 70% больных с наличием антител к вирусу С наблюдается его репликация, то есть анти - HCV сочетается с HCV RNA. Не всегда выраженность клинической симптоматики и повышение </w:t>
      </w:r>
      <w:r>
        <w:rPr>
          <w:rFonts w:ascii="Times New Roman" w:hAnsi="Times New Roman" w:cs="Times New Roman"/>
          <w:sz w:val="28"/>
        </w:rPr>
        <w:t>активности аланинтрансферазы коррелируют с серологическими данными о репликации вируса или с морфологическими признаками активности процесса. Встречаются больные, у которых на основании серологических исследований можно говорить о репликации вируса при сте</w:t>
      </w:r>
      <w:r>
        <w:rPr>
          <w:rFonts w:ascii="Times New Roman" w:hAnsi="Times New Roman" w:cs="Times New Roman"/>
          <w:sz w:val="28"/>
        </w:rPr>
        <w:t>ртой клинической картине заболевания и нормальном уровне активности аланинтрансферазы в сыворотке крови.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отсутствии данных о репликации вируса, а также слабо выраженной активности процесса (незначительно выраженная клиническая симптоматика, повышение а</w:t>
      </w:r>
      <w:r>
        <w:rPr>
          <w:rFonts w:ascii="Times New Roman" w:hAnsi="Times New Roman" w:cs="Times New Roman"/>
          <w:sz w:val="28"/>
        </w:rPr>
        <w:t>ланинтрансферазы менее, чем в 1,5 раза) от терапии интерфероном можно воздержаться, несмотря на наличие в сыворотке крови маркеров того или иного вируса. В подобных условиях существует так называемый "феномен равновесия", когда агрессия вирусной инфекции в</w:t>
      </w:r>
      <w:r>
        <w:rPr>
          <w:rFonts w:ascii="Times New Roman" w:hAnsi="Times New Roman" w:cs="Times New Roman"/>
          <w:sz w:val="28"/>
        </w:rPr>
        <w:t xml:space="preserve"> течение длительного времени сдерживается защитными силами организма в основном за счет иммунологических реакций. Это же касается и людей с "носительством" вируса. Лечение интерфероном также не показано больным с отсутствием маркеров вирусов, в том числе и</w:t>
      </w:r>
      <w:r>
        <w:rPr>
          <w:rFonts w:ascii="Times New Roman" w:hAnsi="Times New Roman" w:cs="Times New Roman"/>
          <w:sz w:val="28"/>
        </w:rPr>
        <w:t xml:space="preserve"> при отрицательной полимеразной цепной реакции (HBV DNA и HCV RNA), а также при отчетливой активности процесса, обусловленной аутоиммунной реакцией (аутоиммунный гепатит). Необходимо проявлять осторожность при назначении интерферона больным с хроническими </w:t>
      </w:r>
      <w:r>
        <w:rPr>
          <w:rFonts w:ascii="Times New Roman" w:hAnsi="Times New Roman" w:cs="Times New Roman"/>
          <w:sz w:val="28"/>
        </w:rPr>
        <w:t>заболеваниями печени при наличии у них осложнений. Это особенно касается циррозов печени вирусной этиологии, при которых возможна энцефалопатия, портальная гипертензия с асцитом, синдром гиперспленизма, выраженный холестаз.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Следующим вопросом, связанным с </w:t>
      </w:r>
      <w:r>
        <w:rPr>
          <w:rFonts w:ascii="Times New Roman" w:hAnsi="Times New Roman" w:cs="Times New Roman"/>
          <w:sz w:val="28"/>
        </w:rPr>
        <w:t xml:space="preserve">тактикой терапии интерфероном, является уточнение его дозировки и длительности применения. Согласно данным многочисленных отечественных и зарубежных исследований, оптимальная разовая доза интерферона составляет 3 млн ME три раза в неделю при инфицировании </w:t>
      </w:r>
      <w:r>
        <w:rPr>
          <w:rFonts w:ascii="Times New Roman" w:hAnsi="Times New Roman" w:cs="Times New Roman"/>
          <w:sz w:val="28"/>
        </w:rPr>
        <w:t>вирусом С и 5-6 млн ME также три раза в неделю у больных с поражением печени вирусом В или микст - инфекцией (В + С или В + D). При соблюдении этих условий удается достигнуть, по данным серологических исследований, элиминации вируса у 40-60% больных. Длите</w:t>
      </w:r>
      <w:r>
        <w:rPr>
          <w:rFonts w:ascii="Times New Roman" w:hAnsi="Times New Roman" w:cs="Times New Roman"/>
          <w:sz w:val="28"/>
        </w:rPr>
        <w:t>льность лечения должна составлять 6 месяцев и более (12 и даже 24 месяца). Несмотря на такую длительность лечения, возможны рецидивы заболевания в течение года. При проведении такой тактики лечения препаратами интерферона, у значительного числа наблюдаемых</w:t>
      </w:r>
      <w:r>
        <w:rPr>
          <w:rFonts w:ascii="Times New Roman" w:hAnsi="Times New Roman" w:cs="Times New Roman"/>
          <w:sz w:val="28"/>
        </w:rPr>
        <w:t xml:space="preserve"> уже через 2 месяца после начала терапии исчезает клиническая симптоматика и нормализуется активность аланинтрансферазы в сыворотке крови.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Эффект лечения, по данным серологических исследований, существенно меньше при снижении разовой дозы до 2 млн ME и осо</w:t>
      </w:r>
      <w:r>
        <w:rPr>
          <w:rFonts w:ascii="Times New Roman" w:hAnsi="Times New Roman" w:cs="Times New Roman"/>
          <w:sz w:val="28"/>
        </w:rPr>
        <w:t>бенно до 1 млн ME или при сокращении срока продолжительности лечения (до 3-х - 4-х месяцев). Такая зависимость эффективности лечения от величины разовой дозы и длительности проводимой терапии, по данным динамики клинической симптоматики и активности аланин</w:t>
      </w:r>
      <w:r>
        <w:rPr>
          <w:rFonts w:ascii="Times New Roman" w:hAnsi="Times New Roman" w:cs="Times New Roman"/>
          <w:sz w:val="28"/>
        </w:rPr>
        <w:t xml:space="preserve">трансферазы в крови, выражена значительно меньше. Можно отметить, что при снижении разовой дозы интерферона до 2 млн ME и сокращении сроков лечения до трех месяцев возрастает число рецидивов в течение ближайшего года после окончания лечения по сравнению с </w:t>
      </w:r>
      <w:r>
        <w:rPr>
          <w:rFonts w:ascii="Times New Roman" w:hAnsi="Times New Roman" w:cs="Times New Roman"/>
          <w:sz w:val="28"/>
        </w:rPr>
        <w:t>результатами при использовании более высоких доз и более длительной терапии.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анализе (ретроспективном) случаев, где лечение интерфероном оказалось эффективным (или неэффективным), было установлено, что существуют клинические и вирусологические факторы,</w:t>
      </w:r>
      <w:r>
        <w:rPr>
          <w:rFonts w:ascii="Times New Roman" w:hAnsi="Times New Roman" w:cs="Times New Roman"/>
          <w:sz w:val="28"/>
        </w:rPr>
        <w:t xml:space="preserve"> которые сочетаются с положительным эффектом терапии. К ним относятся: женщины молодого возраста (до 35 лет); исключение злоупотребления алкоголем и наркотиками; короткая продолжительность заболевания (до года); отсутствие холестаза или незначительные его </w:t>
      </w:r>
      <w:r>
        <w:rPr>
          <w:rFonts w:ascii="Times New Roman" w:hAnsi="Times New Roman" w:cs="Times New Roman"/>
          <w:sz w:val="28"/>
        </w:rPr>
        <w:t>признаки;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данных ( в том числе гистологических), свидетельствующих о наличии цирроза печени; не выраженный аутоиммунный компонент; высокий уровень активности аланинтрансферазы в сыворотке крови, низкий исходный уровень титров HBV DNA или HCV RNA</w:t>
      </w:r>
      <w:r>
        <w:rPr>
          <w:rFonts w:ascii="Times New Roman" w:hAnsi="Times New Roman" w:cs="Times New Roman"/>
          <w:sz w:val="28"/>
        </w:rPr>
        <w:t xml:space="preserve"> в сыворотке крови; отсутствие микст - инфекции (В + С или В + D); определенный генотип вируса, в частности, 3-го вируса С. При сочетании этих факторов эффект от лечения интерфероном достигает 90% и более.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Лечение интерфероном, особенно в рекомендуемых доз</w:t>
      </w:r>
      <w:r>
        <w:rPr>
          <w:rFonts w:ascii="Times New Roman" w:hAnsi="Times New Roman" w:cs="Times New Roman"/>
          <w:sz w:val="28"/>
        </w:rPr>
        <w:t xml:space="preserve">ах (3-6 млн ME 3 раза в неделю) в течение 6-12 месяцев и более, требует больших материальных затрат. В связи с этим может быть поставлен вопрос о возможности уменьшения разовой дозы препарата и (или) сокращения длительности лечения. Наличие указанных выше </w:t>
      </w:r>
      <w:r>
        <w:rPr>
          <w:rFonts w:ascii="Times New Roman" w:hAnsi="Times New Roman" w:cs="Times New Roman"/>
          <w:sz w:val="28"/>
        </w:rPr>
        <w:t>благоприятных условий для эффективности действия интерферона обычно сочетается со сравнительно быстрым исчезновением клинических симптомов и нормализацией активности аланинтрансферазы в сыворотке крови. У подобных больных это происходит через 1,5-2,5 месяц</w:t>
      </w:r>
      <w:r>
        <w:rPr>
          <w:rFonts w:ascii="Times New Roman" w:hAnsi="Times New Roman" w:cs="Times New Roman"/>
          <w:sz w:val="28"/>
        </w:rPr>
        <w:t>а после начала лечения. Практически после этого срока такие больные могут рассматриваться как "носители вируса". Это дает основание уменьшить разовую дозу до 2 млн ME или сократить срок лечения до 3-4 месяцев. Клинический опыт показывает, что при наличии д</w:t>
      </w:r>
      <w:r>
        <w:rPr>
          <w:rFonts w:ascii="Times New Roman" w:hAnsi="Times New Roman" w:cs="Times New Roman"/>
          <w:sz w:val="28"/>
        </w:rPr>
        <w:t>анных, указывающих на хороший прогноз интерферонотерапии, сразу же может быть назначена разовая доза 2 млн ME три раза в неделю. Ее следует повысить (до 3-х млн ME и более), если через 2 месяца после начала терапии будет отсутствовать отчетливый эффект.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настоящее время считается целесообразным комбинировать назначение интерферона с другими препаратами. Такая тактика возможна или в последовательном варианте, при котором другой препарат назначается до или после применения интерферона, или в параллельном, ко</w:t>
      </w:r>
      <w:r>
        <w:rPr>
          <w:rFonts w:ascii="Times New Roman" w:hAnsi="Times New Roman" w:cs="Times New Roman"/>
          <w:sz w:val="28"/>
        </w:rPr>
        <w:t>гда одновременно с интерфероном применяются еще и другие лекарственные средства.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Имеется достаточный клинический опыт, позволяющий рекомендовать за 15-20 дней до назначения интерферона глюкокортикоиды (преднизолон 20-30 мг в сутки). Такая тактика последова</w:t>
      </w:r>
      <w:r>
        <w:rPr>
          <w:rFonts w:ascii="Times New Roman" w:hAnsi="Times New Roman" w:cs="Times New Roman"/>
          <w:sz w:val="28"/>
        </w:rPr>
        <w:t>тельной терапии показана у больных с хроническим вирусным гепатитом с умеренно выраженной и выраженной активностью (при высокой активности аланинтрансферазы в сыворотке крови, превышающей норму в 2 и более раза). При такой тактике терапии проводится быстра</w:t>
      </w:r>
      <w:r>
        <w:rPr>
          <w:rFonts w:ascii="Times New Roman" w:hAnsi="Times New Roman" w:cs="Times New Roman"/>
          <w:sz w:val="28"/>
        </w:rPr>
        <w:t>я ("внезапная") отмена преднизолона с последующим назначением интерферона. За время приема преднизолона удается уменьшить активность процесса, что подтверждается снижением уровня активности сывороточной аланинтрансферазы, а внезапная отмена преднизолона пр</w:t>
      </w:r>
      <w:r>
        <w:rPr>
          <w:rFonts w:ascii="Times New Roman" w:hAnsi="Times New Roman" w:cs="Times New Roman"/>
          <w:sz w:val="28"/>
        </w:rPr>
        <w:t>иводит к стимуляции иммунологической реактивности.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окончания лечения интерфероном, независимо от его срока (3-6-12 месяцев), можно назначить лекарственные средства, которые объединяются понятием "гепатопротекторы" (эссенциале, силибинин, адеметионин)</w:t>
      </w:r>
      <w:r>
        <w:rPr>
          <w:rFonts w:ascii="Times New Roman" w:hAnsi="Times New Roman" w:cs="Times New Roman"/>
          <w:sz w:val="28"/>
        </w:rPr>
        <w:t>. Механизм их защитного действия на печень в основном обусловлен влиянием на антиоксидантную систему. Эссенциале и адеметионин назначаются первые 10-15 дней внутривенно капельно, а затем в виде капсул или таблеток на срок до 2-х месяцев и более. Адеметиони</w:t>
      </w:r>
      <w:r>
        <w:rPr>
          <w:rFonts w:ascii="Times New Roman" w:hAnsi="Times New Roman" w:cs="Times New Roman"/>
          <w:sz w:val="28"/>
        </w:rPr>
        <w:t>н более эффективен у больных, у которых хронический гепатит сочетался с более или менее выраженным холестазом. Кроме того, препарат обладает антидепрессивным влиянием, что особенно важно для больных, у которых вирусный гепатит сочетается со злоупотребление</w:t>
      </w:r>
      <w:r>
        <w:rPr>
          <w:rFonts w:ascii="Times New Roman" w:hAnsi="Times New Roman" w:cs="Times New Roman"/>
          <w:sz w:val="28"/>
        </w:rPr>
        <w:t>м алкоголем (в настоящем и прошлом). Адеметионин для внутривенного или внутримышечного применения выпускается во флаконах, в каждом из которых содержится 400 мг препарата (прилагаются ампулы с растворителем - 5 мл). В каждой таблетке также содержится 400 м</w:t>
      </w:r>
      <w:r>
        <w:rPr>
          <w:rFonts w:ascii="Times New Roman" w:hAnsi="Times New Roman" w:cs="Times New Roman"/>
          <w:sz w:val="28"/>
        </w:rPr>
        <w:t>г катиона адеметионина. Обычно для внутривенного (или внутримышечного) введения назначается по одному флакону (реже два) в сутки, а после окончания парентерального введения препарата лечение проводится дальше внутрь по одной таблетке два раза в день.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Парал</w:t>
      </w:r>
      <w:r>
        <w:rPr>
          <w:rFonts w:ascii="Times New Roman" w:hAnsi="Times New Roman" w:cs="Times New Roman"/>
          <w:sz w:val="28"/>
        </w:rPr>
        <w:t xml:space="preserve">лельно с интерфероном могут быть назначены другие препараты, в частности, из предложенных, наибольшим эффектом при хронических вирусных гепатитах обладают рибавирин (по 1000-1200 мг в сутки в два приема) и урсодезоксихолевая кислота (по 10 мг на кг веса в </w:t>
      </w:r>
      <w:r>
        <w:rPr>
          <w:rFonts w:ascii="Times New Roman" w:hAnsi="Times New Roman" w:cs="Times New Roman"/>
          <w:sz w:val="28"/>
        </w:rPr>
        <w:t>сутки в два приема). Оба препарата назначаются также на длительный срок (6 месяцев). Эффект урсодезоксихолевой кислоты связан с ее иммуномоделирующим влиянием, что потенцирует действие интерферона.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Иная тактика терапии у больных с наличием аутоиммунного ге</w:t>
      </w:r>
      <w:r>
        <w:rPr>
          <w:rFonts w:ascii="Times New Roman" w:hAnsi="Times New Roman" w:cs="Times New Roman"/>
          <w:sz w:val="28"/>
        </w:rPr>
        <w:t>патита, при котором не удается подтвердить наличие вирусной инфекции, но проявляются выраженные иммунные сдвиги на фоне значительной активности патологического процесса в печени и четкой клинической симптоматики. В подобном варианте целесообразно назначени</w:t>
      </w:r>
      <w:r>
        <w:rPr>
          <w:rFonts w:ascii="Times New Roman" w:hAnsi="Times New Roman" w:cs="Times New Roman"/>
          <w:sz w:val="28"/>
        </w:rPr>
        <w:t>е глюкокортикоидов в сочетании с иммунодепрессантами. Начинать лечение следует с относительно небольших доз преднизолона (20 мг в сутки) и азатиоприна (50 мг в сутки) на два приема. Если в течение двух недель не наступает четкого клинического эффекта, то с</w:t>
      </w:r>
      <w:r>
        <w:rPr>
          <w:rFonts w:ascii="Times New Roman" w:hAnsi="Times New Roman" w:cs="Times New Roman"/>
          <w:sz w:val="28"/>
        </w:rPr>
        <w:t>ледует повысить дозу преднизолона до 30 мг в сутки. При этом доза преднизолона увеличивается в первую половину дня за счет повышения разовой дозы или за счет сокращения интервала между приемами. При отсутствии достаточного эффекта еще две недели повышается</w:t>
      </w:r>
      <w:r>
        <w:rPr>
          <w:rFonts w:ascii="Times New Roman" w:hAnsi="Times New Roman" w:cs="Times New Roman"/>
          <w:sz w:val="28"/>
        </w:rPr>
        <w:t xml:space="preserve"> доза азатиоприна (25 мг 3-4 раза в день). Лечение глюкокортикоидами и азатиоприном должно быть при аутоиммунном гепатите продолжительным (6 месяцев и более). После исчезновения клинической симптоматики и отчетливой тенденции к нормализации активности алан</w:t>
      </w:r>
      <w:r>
        <w:rPr>
          <w:rFonts w:ascii="Times New Roman" w:hAnsi="Times New Roman" w:cs="Times New Roman"/>
          <w:sz w:val="28"/>
        </w:rPr>
        <w:t xml:space="preserve">интрансферазы (ее показатель не должен превышать норму больше чем в 1,5 раза) можно снижать дозу преднизолона (по 5 мг каждые 10 дней до 15 мг в сутки) и азатиоприна (на 25 мг каждый месяц до отмены). При наличии признаков холестаза (увеличение содержания </w:t>
      </w:r>
      <w:r>
        <w:rPr>
          <w:rFonts w:ascii="Times New Roman" w:hAnsi="Times New Roman" w:cs="Times New Roman"/>
          <w:sz w:val="28"/>
        </w:rPr>
        <w:t>билирубина в сыворотке крови, холестерина, активности щелочной фосфатазы) дополнительно может быть назначена урсодезоксихолевая кислота (10 мг на кг веса в сутки).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Отдельно следует остановиться на лечении довольно большой группы больных хроническим гепатит</w:t>
      </w:r>
      <w:r>
        <w:rPr>
          <w:rFonts w:ascii="Times New Roman" w:hAnsi="Times New Roman" w:cs="Times New Roman"/>
          <w:sz w:val="28"/>
        </w:rPr>
        <w:t>ом как вирусной, так и не вирусной этиологии (алкогольной, лекарственной, аутоиммунной) при наличии у них минимальной активности процесса, а следовательно, и стертой или мало выраженной клинической симптоматики, которая сочетается с незначительным повышени</w:t>
      </w:r>
      <w:r>
        <w:rPr>
          <w:rFonts w:ascii="Times New Roman" w:hAnsi="Times New Roman" w:cs="Times New Roman"/>
          <w:sz w:val="28"/>
        </w:rPr>
        <w:t>ем активности аланинтрансферазы в сыворотке крови (не более чем в 1,5 раза превышающей норму). Как было указано ранее, вероятность быстрого прогрессирования процесса у подобных больных небольшая. Таким больным наряду с общими лечебными мероприятиями (дието</w:t>
      </w:r>
      <w:r>
        <w:rPr>
          <w:rFonts w:ascii="Times New Roman" w:hAnsi="Times New Roman" w:cs="Times New Roman"/>
          <w:sz w:val="28"/>
        </w:rPr>
        <w:t>й, режимом, исключением алкоголя, наркотических средств, ряда гепатотропных лекарств) целесообразно использовать препараты с антиоксидантным действием (адеметионин, эссенциале, силибинин, витамины С, Е), а также комбинации препаратов растительного происхож</w:t>
      </w:r>
      <w:r>
        <w:rPr>
          <w:rFonts w:ascii="Times New Roman" w:hAnsi="Times New Roman" w:cs="Times New Roman"/>
          <w:sz w:val="28"/>
        </w:rPr>
        <w:t>дения. Из последних наиболее удачным следует считать "гепатофальк-планта", который состоит из сухого экстракта чертополоха, чистотела и яванского турмерика. Активное действие чертополоха связано с влиянием силимарина на мембраны печеночных клеток, чистотел</w:t>
      </w:r>
      <w:r>
        <w:rPr>
          <w:rFonts w:ascii="Times New Roman" w:hAnsi="Times New Roman" w:cs="Times New Roman"/>
          <w:sz w:val="28"/>
        </w:rPr>
        <w:t xml:space="preserve"> обладает спазмолитическим эффектом, яванский турмерик стимулирует желчеобразование. "Гепатофальк-планта" назначается в капсулах (по 2 капсулы 3 раза в день перед едой). Такая тактика лечения хронических гепатитов с благоприятным течением требует диспансер</w:t>
      </w:r>
      <w:r>
        <w:rPr>
          <w:rFonts w:ascii="Times New Roman" w:hAnsi="Times New Roman" w:cs="Times New Roman"/>
          <w:sz w:val="28"/>
        </w:rPr>
        <w:t>ного наблюдения за больными, особенно за теми из них, у кого установлена вирусная этиология заболевания. Необходимо один раз в 3 месяца (первый год), а затем один раз в полгода следить за динамикой клинических симптомов, активностью аланинтрансферазы в сыв</w:t>
      </w:r>
      <w:r>
        <w:rPr>
          <w:rFonts w:ascii="Times New Roman" w:hAnsi="Times New Roman" w:cs="Times New Roman"/>
          <w:sz w:val="28"/>
        </w:rPr>
        <w:t>оротке крови для того, чтобы своевременно обнаружить возможное прогрессирование процесса, требующее активного лечения интерфероном. При хорошем лабораторном обеспечении, у больных хроническим гепатитом вирусной этиологии могут быть проведены дополнительные</w:t>
      </w:r>
      <w:r>
        <w:rPr>
          <w:rFonts w:ascii="Times New Roman" w:hAnsi="Times New Roman" w:cs="Times New Roman"/>
          <w:sz w:val="28"/>
        </w:rPr>
        <w:t xml:space="preserve"> исследования, позволяющие решить вопрос о целесообразности лечения интерфероном или (и) антивирусными препаратами. Это прижизненное морфологическое исследование печени (пункционная биопсия) и полимеразная цепная реакция (ПЦР) . С помощью исследования биоп</w:t>
      </w:r>
      <w:r>
        <w:rPr>
          <w:rFonts w:ascii="Times New Roman" w:hAnsi="Times New Roman" w:cs="Times New Roman"/>
          <w:sz w:val="28"/>
        </w:rPr>
        <w:t>тата печени можно установить степень активности процесса значительно более точно, чем по выраженности клинических симптомов и активности аланинтрансферазы. Полимеразная цепная реакция дает возможность судить о степени репликации вируса. Если с помощью иссл</w:t>
      </w:r>
      <w:r>
        <w:rPr>
          <w:rFonts w:ascii="Times New Roman" w:hAnsi="Times New Roman" w:cs="Times New Roman"/>
          <w:sz w:val="28"/>
        </w:rPr>
        <w:t>едования биоптата печени удается подтвердить достаточную выраженность активности процесса, а по данным полимеразной цепной реакции существенную репликацию вируса, то антивирусную терапию (интерфероном и антивирусными препаратами) следует проводить, несмотр</w:t>
      </w:r>
      <w:r>
        <w:rPr>
          <w:rFonts w:ascii="Times New Roman" w:hAnsi="Times New Roman" w:cs="Times New Roman"/>
          <w:sz w:val="28"/>
        </w:rPr>
        <w:t>я на отсутствие выраженной клинической симптоматики и наличие невысоких показателей активности аланинтрансферазы.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Тактика терапии больных циррозом печени зависит не только от этиологии и активности процесса, но и от наличия и выраженности осложнений. При у</w:t>
      </w:r>
      <w:r>
        <w:rPr>
          <w:rFonts w:ascii="Times New Roman" w:hAnsi="Times New Roman" w:cs="Times New Roman"/>
          <w:sz w:val="28"/>
        </w:rPr>
        <w:t>становленной вирусной этиологии, наличии умеренно выраженной активности и отсутствии клинически выраженных осложнений (портальной гипертензии, энцефалопатии, гиперспленизма), можно провести терапию интерфероном без предварительного назначения глюкокортикои</w:t>
      </w:r>
      <w:r>
        <w:rPr>
          <w:rFonts w:ascii="Times New Roman" w:hAnsi="Times New Roman" w:cs="Times New Roman"/>
          <w:sz w:val="28"/>
        </w:rPr>
        <w:t>дов. Так же, как и при хронических гепатитах, наличие признаков холестаза является основанием для дополнительного назначения урсодезоксихолевой кислоты.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больных циррозом печени с наличием указанных осложнений, лечение должно быть направлено на их устране</w:t>
      </w:r>
      <w:r>
        <w:rPr>
          <w:rFonts w:ascii="Times New Roman" w:hAnsi="Times New Roman" w:cs="Times New Roman"/>
          <w:sz w:val="28"/>
        </w:rPr>
        <w:t>ние и (или) предупреждение последствий, которые с ним связаны.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первую очередь это касается портальной гипертензии и, в частности, предупреждения кровотечения из расширенных вен и желудка. При портальной гипертензии факторами риска кровотечений являются: </w:t>
      </w:r>
      <w:r>
        <w:rPr>
          <w:rFonts w:ascii="Times New Roman" w:hAnsi="Times New Roman" w:cs="Times New Roman"/>
          <w:sz w:val="28"/>
        </w:rPr>
        <w:t>расширение вен пищевода и начального отдела желудка 2-3 степени (по данным эндоскопического исследования); наличие в нижней части пищевода и желудке петехий и эрозий; функциональное состояние печени (низкий показатель сулемовой пробы, снижение содержания а</w:t>
      </w:r>
      <w:r>
        <w:rPr>
          <w:rFonts w:ascii="Times New Roman" w:hAnsi="Times New Roman" w:cs="Times New Roman"/>
          <w:sz w:val="28"/>
        </w:rPr>
        <w:t>льбуминов в крови на фоне гипопротеинемии); состояние свертывающей и антисвертывающей системы крови (коагулограмма). При наличии указанных факторов риска необходима медикаментозная профилактика кровотечений. Она предусматривает назначение бета-адреноблокат</w:t>
      </w:r>
      <w:r>
        <w:rPr>
          <w:rFonts w:ascii="Times New Roman" w:hAnsi="Times New Roman" w:cs="Times New Roman"/>
          <w:sz w:val="28"/>
        </w:rPr>
        <w:t>оров (пропранолол по 20 мг 3 раза в день) в сочетании с блокаторами Н2-гистаминорецепторов (фамотидин - 20 мг на ночь). Эти препараты необходимо давать длительное время. У некоторых больных циррозом печени могут встречаться противопоказания к применению пр</w:t>
      </w:r>
      <w:r>
        <w:rPr>
          <w:rFonts w:ascii="Times New Roman" w:hAnsi="Times New Roman" w:cs="Times New Roman"/>
          <w:sz w:val="28"/>
        </w:rPr>
        <w:t>опранолола (брадикардия, атриовентрикулярная блокада первой степени, астматический бронхит). В таком случае пропранолол можно заменить на нитраты (изосорбида динитрат по 10 мг два раза в день или 20 мг пролонгированного препарата один раз в сутки). При воз</w:t>
      </w:r>
      <w:r>
        <w:rPr>
          <w:rFonts w:ascii="Times New Roman" w:hAnsi="Times New Roman" w:cs="Times New Roman"/>
          <w:sz w:val="28"/>
        </w:rPr>
        <w:t>никновении кровотечения больного необходимо госпитализировать в палату интенсивной терапии, где проводятся срочная эндоскопия и соответствующие лечебные мероприятия (переливание крови, октреотид, кровоостанавливающие средства, хирургическое пособие). Длите</w:t>
      </w:r>
      <w:r>
        <w:rPr>
          <w:rFonts w:ascii="Times New Roman" w:hAnsi="Times New Roman" w:cs="Times New Roman"/>
          <w:sz w:val="28"/>
        </w:rPr>
        <w:t>льно существующая портальная гипертензия в сочетании с изменением онкотического давления в крови и повышение содержания альдостерона приводят к развитию асцита. Этому предшествует, как правило, стойкий метеоризм. Лечебные мероприятия при асците предусматри</w:t>
      </w:r>
      <w:r>
        <w:rPr>
          <w:rFonts w:ascii="Times New Roman" w:hAnsi="Times New Roman" w:cs="Times New Roman"/>
          <w:sz w:val="28"/>
        </w:rPr>
        <w:t>вают ограничение поваренной соли, назначение диуретиков (фуросемид по 40-1 20 мг в сутки в сочетании со спиронолактоном по 100-400 мг в сутки). Лечение асцита фуросемидом и спиронолактоном следует начинать с малых доз (40 мг фуросемида и 100 мг спиронолакт</w:t>
      </w:r>
      <w:r>
        <w:rPr>
          <w:rFonts w:ascii="Times New Roman" w:hAnsi="Times New Roman" w:cs="Times New Roman"/>
          <w:sz w:val="28"/>
        </w:rPr>
        <w:t>она в сутки). Необходим контроль за количеством принятой жидкости и количеством выделяемой мочи в сутки, а также ежедневное взвешивание больного. Доза фуросемида и спиронолактона увеличивается каждые 3-4 дня до того, пока снижение веса больного не достигне</w:t>
      </w:r>
      <w:r>
        <w:rPr>
          <w:rFonts w:ascii="Times New Roman" w:hAnsi="Times New Roman" w:cs="Times New Roman"/>
          <w:sz w:val="28"/>
        </w:rPr>
        <w:t>т 400 г в сутки, а количество выпитой жидкости будет соответствовать количеству выделенной мочи. Если такого эффекта не удается достигнуть при дозе фуросемида 1 20 мг, а спиронолактона 400 мг в сутки, то асцит считается рефракторным, и приходится прибегать</w:t>
      </w:r>
      <w:r>
        <w:rPr>
          <w:rFonts w:ascii="Times New Roman" w:hAnsi="Times New Roman" w:cs="Times New Roman"/>
          <w:sz w:val="28"/>
        </w:rPr>
        <w:t xml:space="preserve"> к парацентезу с удалением жидкости из полости живота с внутривенным введением раствора альбумина (6-8 г на один литр удаленной жидкости). При повторном накоплении жидкости приходится прибегать к наложению шунтов.</w:t>
      </w:r>
    </w:p>
    <w:p w:rsidR="00000000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каждого третьего больного с циррозом печ</w:t>
      </w:r>
      <w:r>
        <w:rPr>
          <w:rFonts w:ascii="Times New Roman" w:hAnsi="Times New Roman" w:cs="Times New Roman"/>
          <w:sz w:val="28"/>
        </w:rPr>
        <w:t xml:space="preserve">ени наблюдаются более или менее выраженные клинические симптомы энцефалопатии - синдрома, объединяющего неврологические и психоэмоциональные нарушения, обусловленные метаболическими нарушениями в центральной нервной системе. Последние связаны с печеночной </w:t>
      </w:r>
      <w:r>
        <w:rPr>
          <w:rFonts w:ascii="Times New Roman" w:hAnsi="Times New Roman" w:cs="Times New Roman"/>
          <w:sz w:val="28"/>
        </w:rPr>
        <w:t>недостаточностью и, в частности, с влиянием аммиака, фенолов, токсинов энтеробактерий. Энцефалопатия проявляется сначала эйфорией, затем депрессивным синдромом, замедленной речью, тремором пальцев рук, изменением почерка. Затем появляются сонливость, неаде</w:t>
      </w:r>
      <w:r>
        <w:rPr>
          <w:rFonts w:ascii="Times New Roman" w:hAnsi="Times New Roman" w:cs="Times New Roman"/>
          <w:sz w:val="28"/>
        </w:rPr>
        <w:t>кватность поведения, нарушение сна, изменения электроэнцефалограммы. Часто печеночная энцефалопатия провоцируется электролитными нарушениями (следствие применения больших доз диуретиков, поноса, рвоты), кровотечениями, инфекцией, алкогольными эксцессами. Л</w:t>
      </w:r>
      <w:r>
        <w:rPr>
          <w:rFonts w:ascii="Times New Roman" w:hAnsi="Times New Roman" w:cs="Times New Roman"/>
          <w:sz w:val="28"/>
        </w:rPr>
        <w:t>ечебные мероприятия при энцефалопатии предусматривают исключение (или ликвидацию) указанных выше факторов, ограничение (до 40 г в сутки) белка, антибактериальные средства внутрь для подавления кишечной микрофлоры (неомицин 4-6 г в сутки, метронидазол по 0,</w:t>
      </w:r>
      <w:r>
        <w:rPr>
          <w:rFonts w:ascii="Times New Roman" w:hAnsi="Times New Roman" w:cs="Times New Roman"/>
          <w:sz w:val="28"/>
        </w:rPr>
        <w:t>25 г 3 раза в сутки в течение 10-15 дней), по 10-30 мл лактулозы 3 раза в день до послабляющего эффекта. Орницетил внутривенно капельно по 50 мг на 150 мл физиологического раствора (связывает аммиак). Препарат вводится до 6 раз в сутки.</w:t>
      </w:r>
    </w:p>
    <w:p w:rsidR="00130552" w:rsidRDefault="00130552">
      <w:pPr>
        <w:pStyle w:val="a6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Гиперспленизм - син</w:t>
      </w:r>
      <w:r>
        <w:rPr>
          <w:rFonts w:ascii="Times New Roman" w:hAnsi="Times New Roman" w:cs="Times New Roman"/>
          <w:sz w:val="28"/>
        </w:rPr>
        <w:t>дром, при котором увеличение селезенки сочетается с развитием фиброадении и, как следствие этого, возрастает одна из функций селезенки - захват из крови эритроцитов, гранулоцитов, тромбоцитов. Это ведет к их уменьшению в периферической крови (тромбоцитопен</w:t>
      </w:r>
      <w:r>
        <w:rPr>
          <w:rFonts w:ascii="Times New Roman" w:hAnsi="Times New Roman" w:cs="Times New Roman"/>
          <w:sz w:val="28"/>
        </w:rPr>
        <w:t>ия, гранулоцитопения, анемия). Лечение синдрома гиперспленизма, который часто сопутствует циррозу печени, проводится преднизолоном (20-25 мг в сутки в течение 15-20 дней с последующим снижением дозы по 5 мг каждые 10 дней) под контролем картины крови. Одно</w:t>
      </w:r>
      <w:r>
        <w:rPr>
          <w:rFonts w:ascii="Times New Roman" w:hAnsi="Times New Roman" w:cs="Times New Roman"/>
          <w:sz w:val="28"/>
        </w:rPr>
        <w:t xml:space="preserve">временно можно назначить пентоксил по 0,2 мг три раза в день, особенно если гиперспленизм проявляется выраженной гранулоцитопенией. Отсутствие эффекта от консервативного лечения ставит вопрос о хирургическом вмешательстве (спленоэктомии). </w:t>
      </w:r>
    </w:p>
    <w:sectPr w:rsidR="00130552">
      <w:footerReference w:type="even" r:id="rId7"/>
      <w:footerReference w:type="default" r:id="rId8"/>
      <w:pgSz w:w="11907" w:h="16840" w:code="9"/>
      <w:pgMar w:top="851" w:right="567" w:bottom="1242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52" w:rsidRDefault="00130552">
      <w:r>
        <w:separator/>
      </w:r>
    </w:p>
  </w:endnote>
  <w:endnote w:type="continuationSeparator" w:id="0">
    <w:p w:rsidR="00130552" w:rsidRDefault="0013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055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1305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055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>PAGE</w:instrText>
    </w:r>
    <w:r>
      <w:rPr>
        <w:rStyle w:val="a8"/>
      </w:rPr>
      <w:instrText xml:space="preserve">  </w:instrText>
    </w:r>
    <w:r>
      <w:rPr>
        <w:rStyle w:val="a8"/>
      </w:rPr>
      <w:fldChar w:fldCharType="separate"/>
    </w:r>
    <w:r w:rsidR="00223A3C">
      <w:rPr>
        <w:rStyle w:val="a8"/>
        <w:noProof/>
      </w:rPr>
      <w:t>2</w:t>
    </w:r>
    <w:r>
      <w:rPr>
        <w:rStyle w:val="a8"/>
      </w:rPr>
      <w:fldChar w:fldCharType="end"/>
    </w:r>
  </w:p>
  <w:p w:rsidR="00000000" w:rsidRDefault="001305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52" w:rsidRDefault="00130552">
      <w:r>
        <w:separator/>
      </w:r>
    </w:p>
  </w:footnote>
  <w:footnote w:type="continuationSeparator" w:id="0">
    <w:p w:rsidR="00130552" w:rsidRDefault="0013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3C"/>
    <w:rsid w:val="00130552"/>
    <w:rsid w:val="002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jc w:val="center"/>
      <w:outlineLvl w:val="0"/>
    </w:pPr>
    <w:rPr>
      <w:szCs w:val="15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outlineLvl w:val="1"/>
    </w:pPr>
    <w:rPr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  <w:jc w:val="center"/>
    </w:pPr>
    <w:rPr>
      <w:b/>
      <w:caps/>
      <w:color w:val="000000"/>
      <w:sz w:val="34"/>
      <w:szCs w:val="34"/>
    </w:rPr>
  </w:style>
  <w:style w:type="paragraph" w:styleId="a4">
    <w:name w:val="Title"/>
    <w:basedOn w:val="a"/>
    <w:qFormat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rFonts w:ascii="Batang" w:eastAsia="Batang" w:hAnsi="Batang"/>
      <w:b/>
      <w:caps/>
      <w:color w:val="000000"/>
      <w:szCs w:val="34"/>
    </w:rPr>
  </w:style>
  <w:style w:type="paragraph" w:styleId="20">
    <w:name w:val="Body Text 2"/>
    <w:basedOn w:val="a"/>
    <w:semiHidden/>
    <w:pPr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65"/>
      <w:szCs w:val="65"/>
    </w:rPr>
  </w:style>
  <w:style w:type="paragraph" w:styleId="a5">
    <w:name w:val="Body Text Indent"/>
    <w:basedOn w:val="a"/>
    <w:semiHidden/>
    <w:pPr>
      <w:shd w:val="clear" w:color="auto" w:fill="FFFFFF"/>
      <w:autoSpaceDE w:val="0"/>
      <w:autoSpaceDN w:val="0"/>
      <w:adjustRightInd w:val="0"/>
      <w:ind w:left="7080" w:hanging="1230"/>
    </w:pPr>
    <w:rPr>
      <w:color w:val="000000"/>
      <w:sz w:val="34"/>
      <w:szCs w:val="34"/>
    </w:rPr>
  </w:style>
  <w:style w:type="paragraph" w:styleId="21">
    <w:name w:val="Body Text Indent 2"/>
    <w:basedOn w:val="a"/>
    <w:semiHidden/>
    <w:pPr>
      <w:shd w:val="clear" w:color="auto" w:fill="FFFFFF"/>
      <w:autoSpaceDE w:val="0"/>
      <w:autoSpaceDN w:val="0"/>
      <w:adjustRightInd w:val="0"/>
      <w:spacing w:line="480" w:lineRule="auto"/>
      <w:ind w:left="1200" w:hanging="300"/>
    </w:pPr>
    <w:rPr>
      <w:color w:val="000000"/>
      <w:szCs w:val="29"/>
    </w:rPr>
  </w:style>
  <w:style w:type="paragraph" w:styleId="3">
    <w:name w:val="Body Text 3"/>
    <w:basedOn w:val="a"/>
    <w:semiHidden/>
    <w:pPr>
      <w:spacing w:before="100" w:beforeAutospacing="1" w:after="100" w:afterAutospacing="1"/>
    </w:pPr>
    <w:rPr>
      <w:szCs w:val="15"/>
    </w:rPr>
  </w:style>
  <w:style w:type="paragraph" w:styleId="30">
    <w:name w:val="Body Text Indent 3"/>
    <w:basedOn w:val="a"/>
    <w:semiHidden/>
    <w:pPr>
      <w:spacing w:before="100" w:beforeAutospacing="1" w:after="100" w:afterAutospacing="1"/>
      <w:ind w:firstLine="708"/>
    </w:pPr>
    <w:rPr>
      <w:szCs w:val="15"/>
    </w:rPr>
  </w:style>
  <w:style w:type="paragraph" w:styleId="a6">
    <w:name w:val="Normal (Web)"/>
    <w:basedOn w:val="a"/>
    <w:semiHidden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</w:rPr>
  </w:style>
  <w:style w:type="paragraph" w:styleId="a7">
    <w:name w:val="footer"/>
    <w:basedOn w:val="a"/>
    <w:semiHidden/>
    <w:pPr>
      <w:tabs>
        <w:tab w:val="center" w:pos="4844"/>
        <w:tab w:val="right" w:pos="9689"/>
      </w:tabs>
    </w:pPr>
  </w:style>
  <w:style w:type="character" w:styleId="a8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jc w:val="center"/>
      <w:outlineLvl w:val="0"/>
    </w:pPr>
    <w:rPr>
      <w:szCs w:val="15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outlineLvl w:val="1"/>
    </w:pPr>
    <w:rPr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  <w:jc w:val="center"/>
    </w:pPr>
    <w:rPr>
      <w:b/>
      <w:caps/>
      <w:color w:val="000000"/>
      <w:sz w:val="34"/>
      <w:szCs w:val="34"/>
    </w:rPr>
  </w:style>
  <w:style w:type="paragraph" w:styleId="a4">
    <w:name w:val="Title"/>
    <w:basedOn w:val="a"/>
    <w:qFormat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rFonts w:ascii="Batang" w:eastAsia="Batang" w:hAnsi="Batang"/>
      <w:b/>
      <w:caps/>
      <w:color w:val="000000"/>
      <w:szCs w:val="34"/>
    </w:rPr>
  </w:style>
  <w:style w:type="paragraph" w:styleId="20">
    <w:name w:val="Body Text 2"/>
    <w:basedOn w:val="a"/>
    <w:semiHidden/>
    <w:pPr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65"/>
      <w:szCs w:val="65"/>
    </w:rPr>
  </w:style>
  <w:style w:type="paragraph" w:styleId="a5">
    <w:name w:val="Body Text Indent"/>
    <w:basedOn w:val="a"/>
    <w:semiHidden/>
    <w:pPr>
      <w:shd w:val="clear" w:color="auto" w:fill="FFFFFF"/>
      <w:autoSpaceDE w:val="0"/>
      <w:autoSpaceDN w:val="0"/>
      <w:adjustRightInd w:val="0"/>
      <w:ind w:left="7080" w:hanging="1230"/>
    </w:pPr>
    <w:rPr>
      <w:color w:val="000000"/>
      <w:sz w:val="34"/>
      <w:szCs w:val="34"/>
    </w:rPr>
  </w:style>
  <w:style w:type="paragraph" w:styleId="21">
    <w:name w:val="Body Text Indent 2"/>
    <w:basedOn w:val="a"/>
    <w:semiHidden/>
    <w:pPr>
      <w:shd w:val="clear" w:color="auto" w:fill="FFFFFF"/>
      <w:autoSpaceDE w:val="0"/>
      <w:autoSpaceDN w:val="0"/>
      <w:adjustRightInd w:val="0"/>
      <w:spacing w:line="480" w:lineRule="auto"/>
      <w:ind w:left="1200" w:hanging="300"/>
    </w:pPr>
    <w:rPr>
      <w:color w:val="000000"/>
      <w:szCs w:val="29"/>
    </w:rPr>
  </w:style>
  <w:style w:type="paragraph" w:styleId="3">
    <w:name w:val="Body Text 3"/>
    <w:basedOn w:val="a"/>
    <w:semiHidden/>
    <w:pPr>
      <w:spacing w:before="100" w:beforeAutospacing="1" w:after="100" w:afterAutospacing="1"/>
    </w:pPr>
    <w:rPr>
      <w:szCs w:val="15"/>
    </w:rPr>
  </w:style>
  <w:style w:type="paragraph" w:styleId="30">
    <w:name w:val="Body Text Indent 3"/>
    <w:basedOn w:val="a"/>
    <w:semiHidden/>
    <w:pPr>
      <w:spacing w:before="100" w:beforeAutospacing="1" w:after="100" w:afterAutospacing="1"/>
      <w:ind w:firstLine="708"/>
    </w:pPr>
    <w:rPr>
      <w:szCs w:val="15"/>
    </w:rPr>
  </w:style>
  <w:style w:type="paragraph" w:styleId="a6">
    <w:name w:val="Normal (Web)"/>
    <w:basedOn w:val="a"/>
    <w:semiHidden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</w:rPr>
  </w:style>
  <w:style w:type="paragraph" w:styleId="a7">
    <w:name w:val="footer"/>
    <w:basedOn w:val="a"/>
    <w:semiHidden/>
    <w:pPr>
      <w:tabs>
        <w:tab w:val="center" w:pos="4844"/>
        <w:tab w:val="right" w:pos="9689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8900</Words>
  <Characters>50732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DMA</Company>
  <LinksUpToDate>false</LinksUpToDate>
  <CharactersWithSpaces>59513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Vovan</dc:creator>
  <cp:lastModifiedBy>Igor</cp:lastModifiedBy>
  <cp:revision>3</cp:revision>
  <cp:lastPrinted>2002-05-26T23:54:00Z</cp:lastPrinted>
  <dcterms:created xsi:type="dcterms:W3CDTF">2024-07-18T07:17:00Z</dcterms:created>
  <dcterms:modified xsi:type="dcterms:W3CDTF">2024-07-18T07:17:00Z</dcterms:modified>
</cp:coreProperties>
</file>