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CB467D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Средства, влияющие на функции органов дыхания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 средствам, влияющим на функции органов дыхания, относят стимуляторы дыхания, противокашлевые средства, отхаркивающие и средства, применяемые при бронхиальной астме и ДН.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Стимуляторы дыхания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</w:t>
      </w:r>
      <w:r>
        <w:rPr>
          <w:sz w:val="28"/>
          <w:szCs w:val="28"/>
        </w:rPr>
        <w:t xml:space="preserve">хание регулируется дыхательным центром, расположенным в продолговатом мозге. Активность дыхательного центра зависит от содержания в крови углекислого газа, который стимулирует дыхательный центр прямо и рефлекторно, возбуждая рецепторы синокаротидной зоны. </w:t>
      </w:r>
      <w:r>
        <w:rPr>
          <w:sz w:val="28"/>
          <w:szCs w:val="28"/>
        </w:rPr>
        <w:t>Остановка дыхания может возникнуть в результате механической закупорки дыхательных путей (аспирация жидкостей, попадание инородных тел, спазм голосовой щели), расслабления дыхательных мышц под влиянием миорелаксантов, резкого угнетения (паралича) дыхательн</w:t>
      </w:r>
      <w:r>
        <w:rPr>
          <w:sz w:val="28"/>
          <w:szCs w:val="28"/>
        </w:rPr>
        <w:t>ого центра различными ядами (средствами для наркоза, снотворными, наркотическими анальгетиками и др). При остановке дыхания требуется срочная помощь, в противном случае возникает тяжелая асфиксия и наступает смерть. Для фармакологии особый интерес представ</w:t>
      </w:r>
      <w:r>
        <w:rPr>
          <w:sz w:val="28"/>
          <w:szCs w:val="28"/>
        </w:rPr>
        <w:t>ляет опасность угнетения дыхательного центра при отравлении лекарственными веществами. В таких случаях назначают стимуляторы дыхания, которые непосредственно возбуждают дыхательный центр: кофеин, коразол, кордиамин, бемегрид и др. (см. Аналептики).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</w:t>
      </w:r>
      <w:r>
        <w:rPr>
          <w:sz w:val="28"/>
          <w:szCs w:val="28"/>
        </w:rPr>
        <w:t>уют дыхательные аналептики рефлекторного действия (цититон, лобелин). Они малоэффективны при угнетении дыхательного центра, поскольку нарушена рефлекторная возбудимость дыхательного центра.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Цититон и лобелин применяют, например, при асфикции новорожденных </w:t>
      </w:r>
      <w:r>
        <w:rPr>
          <w:sz w:val="28"/>
          <w:szCs w:val="28"/>
        </w:rPr>
        <w:t xml:space="preserve">и отравлении угарным газом. Они возбуждают н-холинорецепторы синокаротидной зоны, откуда афферентные импульсы поступают в продолговатый мозг, и повышают активность дыхательного центра. Действуют </w:t>
      </w:r>
      <w:r>
        <w:rPr>
          <w:sz w:val="28"/>
          <w:szCs w:val="28"/>
        </w:rPr>
        <w:lastRenderedPageBreak/>
        <w:t xml:space="preserve">кратковременно, вводятся только в/в.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Этимизол занимает особо</w:t>
      </w:r>
      <w:r>
        <w:rPr>
          <w:sz w:val="28"/>
          <w:szCs w:val="28"/>
        </w:rPr>
        <w:t>е место среди стимуляторов дыхания. Он активирует центры продолговатого мозга, оказывает седативное действие на кору головного мозга и уменьшает чувство тревоги.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аналептиков смешанного типа действия (кордиамин, углекислота) центральный эффект дополняется</w:t>
      </w:r>
      <w:r>
        <w:rPr>
          <w:sz w:val="28"/>
          <w:szCs w:val="28"/>
        </w:rPr>
        <w:t xml:space="preserve"> рефлекторным с участием хеморецепторов каротидного клубочка. В медицинской практике применяют сочетание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СО2 (5 - 7%) и О2 (93 - 95%) 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Такую смесь называют карбоген.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аналептиков для возбуждения дыхания в случаях отравления средствами, угнет</w:t>
      </w:r>
      <w:r>
        <w:rPr>
          <w:sz w:val="28"/>
          <w:szCs w:val="28"/>
        </w:rPr>
        <w:t>ающими центр дыхания, в настоящее время ограничено. Это связано с тем, что при выраженном угнетении дыхания введение аналептиков может вызвать повышение потребности клеток мозга в кислороде и усугубить состояние гипоксии. Аналептики целесообразно применять</w:t>
      </w:r>
      <w:r>
        <w:rPr>
          <w:sz w:val="28"/>
          <w:szCs w:val="28"/>
        </w:rPr>
        <w:t xml:space="preserve"> в небольших дозах при отравлении легкой и средней степени.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Противокашлевые средства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Кашель является защитной рефлекторной реакцией в ответ на раздражение дыхательных путей (трахеи, бронхов). Эта реакция способствует удалению инородных веществ, случайно </w:t>
      </w:r>
      <w:r>
        <w:rPr>
          <w:sz w:val="28"/>
          <w:szCs w:val="28"/>
        </w:rPr>
        <w:t>попавших в дыхательные пути. Кашлевой рефлекс осуществляется с участием специального кашлевого центра, тесно связанного с дыхательным центром.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часто возникает при воспалении дыхательных путей и легких (бронхит, трахеит, бронхопневмония, туберкулез л</w:t>
      </w:r>
      <w:r>
        <w:rPr>
          <w:sz w:val="28"/>
          <w:szCs w:val="28"/>
        </w:rPr>
        <w:t>егких и др.) При этих заболеваниях кашель часто нарушает сон и изнуряет больных. Кроме того, повышение давления в легких при кашле в течение длительного периода может привести к растяжению легочной ткани, т.е. явлениям эмфиземы и нарушению кровообращения.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две группы противокашлевых средств: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 центрального действия.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Наркотического типа (кодеин, этилморфина гидрохлорид).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Ненаркотические препараты (глауцина гидрохлорид, тусупрекс).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 периферического действия (либексин).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Кодеин,</w:t>
      </w:r>
      <w:r>
        <w:rPr>
          <w:sz w:val="28"/>
          <w:szCs w:val="28"/>
        </w:rPr>
        <w:t xml:space="preserve"> этилморфин (дионин) угнетают центральные звенья кашлевого рефлекса, локализованные в продолговатом мозге. Следует иметь в виду, что эти вещества близки по структуре и действию к морфину и при повторных назначениях могут вызвать лекарственную зависимость. </w:t>
      </w:r>
      <w:r>
        <w:rPr>
          <w:sz w:val="28"/>
          <w:szCs w:val="28"/>
        </w:rPr>
        <w:t xml:space="preserve">Поэтому на них распространяется те же правила назначения, отпуска и хранения, как наркотических анальгетиков.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Кодеин является алкалоидом опия, обладает выраженной противокашлевой активностью, оказывает слабое болеутоляющее действие. В терапевтических доза</w:t>
      </w:r>
      <w:r>
        <w:rPr>
          <w:sz w:val="28"/>
          <w:szCs w:val="28"/>
        </w:rPr>
        <w:t>х не угнетает дыхательный центр. Длительное применение кодеина сопровождается развитием привыкания и лекарственной зависимости.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препаратов выпускают кодеин (основание) и кодеина фосфат. Кроме того, кодеин входит в состав ряда комбинированных пре</w:t>
      </w:r>
      <w:r>
        <w:rPr>
          <w:sz w:val="28"/>
          <w:szCs w:val="28"/>
        </w:rPr>
        <w:t>паратов: таблетки «Кодтерпин».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Этилморфина гидрохлорид (дионин) получают синтетическим путем из морфина. Аналогичен кодеину, но несколько более активен.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Сильным противокашлевым действием обладают опиоидные анальгетики (морфин), но они вызывают угнетение ды</w:t>
      </w:r>
      <w:r>
        <w:rPr>
          <w:sz w:val="28"/>
          <w:szCs w:val="28"/>
        </w:rPr>
        <w:t>хательного центра.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поисков противокашлевых средств, свободных от указанных недостатков предложены новые препараты - глауцин, тусупрекс и либексин. Они не вызывают пристрастия и не угнетают дыхательный центр. Механизм противокашлевого действия </w:t>
      </w:r>
      <w:r>
        <w:rPr>
          <w:sz w:val="28"/>
          <w:szCs w:val="28"/>
        </w:rPr>
        <w:t>глауцина и тусупрекса обусловлен избирательным угнетением кашлевого центра.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периферического действия - либексин. Он блокирует периферическое звено кашлевого рефлекса, анестезируя слизистую оболочку верхних дыхательных путей. На ЦНС не влияет. Лека</w:t>
      </w:r>
      <w:r>
        <w:rPr>
          <w:sz w:val="28"/>
          <w:szCs w:val="28"/>
        </w:rPr>
        <w:t xml:space="preserve">рственная зависимость к нему не развивается.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Отхаркивающие (муколитические) средства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Отхаркивающие средства способствуют удалению мокроты и часто используются при воспалительных заболеваниях дыхательных путей. Отхаркивающие средства нередко комбинируют </w:t>
      </w:r>
      <w:r>
        <w:rPr>
          <w:sz w:val="28"/>
          <w:szCs w:val="28"/>
        </w:rPr>
        <w:t xml:space="preserve">с противокашлевыми препаратами. В зависимости от механизма действия выделяют две группы отхаркивающих средств -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.препараты рефлекторного и 2. прямого действия.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Рефлекторным действием обладают препараты термопсиса и других растений. Принятые внутрь, они вы</w:t>
      </w:r>
      <w:r>
        <w:rPr>
          <w:sz w:val="28"/>
          <w:szCs w:val="28"/>
        </w:rPr>
        <w:t>зывают умеренное раздражение рецепторов желудка, что приводит к рефлекторному усилению секреции бронхиальных желез и двигательной активности мерцательного эпителия. В больших дозах отхаркивающие средства рефлекторного действия вызывают тошноту и рвоту. В п</w:t>
      </w:r>
      <w:r>
        <w:rPr>
          <w:sz w:val="28"/>
          <w:szCs w:val="28"/>
        </w:rPr>
        <w:t>ринципе все рвотные средства в небольших дозах (не вызывающих рвоту) обладают отхаркивающим действием. Среди отхаркивающих средств рефлекторного действия наиболее активным является ликорин (ликорина гидрохлорид), который содержится в ряде растений семейств</w:t>
      </w:r>
      <w:r>
        <w:rPr>
          <w:sz w:val="28"/>
          <w:szCs w:val="28"/>
        </w:rPr>
        <w:t>а амариллисовых и лилейных.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отхаркивающим средствам прямого действия относятся натрия гидрокарбонат, калия йодид, а также терпингидрат, натрия бензоат, аммония хлорид, нашатырно-анисовые капли и др. Принятые внутрь, они выделяются слизистой оболочкой дых</w:t>
      </w:r>
      <w:r>
        <w:rPr>
          <w:sz w:val="28"/>
          <w:szCs w:val="28"/>
        </w:rPr>
        <w:t>ательных путей, уменьшают вязкость мокроты и таким образом способствуют ее удалению.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отхаркивающих веществ растительного происхождения применяется внутрь перед едой в виде различных галеновых препаратов: настоек, экстрактов и др. Эфирные масла,</w:t>
      </w:r>
      <w:r>
        <w:rPr>
          <w:sz w:val="28"/>
          <w:szCs w:val="28"/>
        </w:rPr>
        <w:t xml:space="preserve"> содержащиеся в различных растениях (анис обыкновенный, чабрец, девясил и др.), выделяются в организм через легкие, увеличивают секрецию бронхиальных желез и тем самым разжижают мокроту.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 прямого действия, содержащие эфирные масла и щелочи, оказыва</w:t>
      </w:r>
      <w:r>
        <w:rPr>
          <w:sz w:val="28"/>
          <w:szCs w:val="28"/>
        </w:rPr>
        <w:t>ют благоприятный отхаркивающий эффект также при местном применении в форме ингаляций с водными парами, например ингаляций 2% раствора натрия гидрокарбоната с добавлением нескольких капель анисового масла.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затянувшихся хронических бронхитах с вязкой, тр</w:t>
      </w:r>
      <w:r>
        <w:rPr>
          <w:sz w:val="28"/>
          <w:szCs w:val="28"/>
        </w:rPr>
        <w:t>удно отхаркиваемой мокротой рекомендуют назначать препараты йода (калия йодид), которые действуют более длительно, чем другие отхаркивающие вещества.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длительное назначение йодидов может привести к раздражению слизистых оболочек в местах их выделения</w:t>
      </w:r>
      <w:r>
        <w:rPr>
          <w:sz w:val="28"/>
          <w:szCs w:val="28"/>
        </w:rPr>
        <w:t xml:space="preserve"> (слизистая оболочка носа, потовые железы). Препараты йода противопоказаны при острых воспалительных процессах в дыхательных путях, туберкулезные легких, повышенной чувствительности организма йоду.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отхаркивающих средств прямого действия использу</w:t>
      </w:r>
      <w:r>
        <w:rPr>
          <w:sz w:val="28"/>
          <w:szCs w:val="28"/>
        </w:rPr>
        <w:t>ются также некоторые протеолитические ферменты - трипсин, химиотрипсин, дезоксирибонуклеаза. Ингаляционное введение растворов этих препаратов в дыхательные пути вызывает расщепление веществ мокроты и способствует ее удалению.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Активными муколитическими преп</w:t>
      </w:r>
      <w:r>
        <w:rPr>
          <w:sz w:val="28"/>
          <w:szCs w:val="28"/>
        </w:rPr>
        <w:t>аратами являются ацетилцистеин (АЦЦ) и карбоцистеин (бронхокод), а также бромгексин и амброксол. Они вызывают деполимеризацию и снижение вязкости мокроты. При этом нормализуется секреция бронхиальных желез, улучшаются реологические свойства мокроты, уменьш</w:t>
      </w:r>
      <w:r>
        <w:rPr>
          <w:sz w:val="28"/>
          <w:szCs w:val="28"/>
        </w:rPr>
        <w:t xml:space="preserve">ается ее вязкость, облегчается выделение мокроты из бронхов. Эффект развивается через 30 мин и сохраняется 10-12 часов. Вводят препараты внутрь.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лечебной практике используются комбинации отхаркивающих средств прямого и рефлекторного действия, а также пр</w:t>
      </w:r>
      <w:r>
        <w:rPr>
          <w:sz w:val="28"/>
          <w:szCs w:val="28"/>
        </w:rPr>
        <w:t xml:space="preserve">отивокашлевых. К официальным прописям такого содержания можно отнести «Таблетки отхаркивающие», «Грудной сбор», Пертуссин и др.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Средства, применяемые при бронхиальной астме (бронхолитические средства)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обычных условиях тонус мышц бронхов поддерживаетс</w:t>
      </w:r>
      <w:r>
        <w:rPr>
          <w:sz w:val="28"/>
          <w:szCs w:val="28"/>
        </w:rPr>
        <w:t xml:space="preserve">я за счет холинергических нервов, возбуждение которых приводит к бронхоспастическому эффекту. Симпатическая иннервация бронхов отсутствует. Однако в бронхах имеются неиннервируемые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sz w:val="28"/>
          <w:szCs w:val="28"/>
        </w:rPr>
        <w:t>адренорецепторы, на которые действует циркулирующий адреналин и вводимые</w:t>
      </w:r>
      <w:r>
        <w:rPr>
          <w:sz w:val="28"/>
          <w:szCs w:val="28"/>
        </w:rPr>
        <w:t xml:space="preserve"> извне адренотропные вещества. Стимуляция </w:t>
      </w:r>
      <w:r>
        <w:rPr>
          <w:rFonts w:ascii="Times New Roman" w:hAnsi="Times New Roman" w:cs="Times New Roman"/>
          <w:sz w:val="28"/>
          <w:szCs w:val="28"/>
        </w:rPr>
        <w:t>β2-</w:t>
      </w:r>
      <w:r>
        <w:rPr>
          <w:sz w:val="28"/>
          <w:szCs w:val="28"/>
        </w:rPr>
        <w:t>адренорецепторов сопровождается бронходилатирующим эффектом.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 - это заболевание, которое проявляется приступами удушья, возникающими в результате спазма бронхов.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бронхиальной астмы ча</w:t>
      </w:r>
      <w:r>
        <w:rPr>
          <w:sz w:val="28"/>
          <w:szCs w:val="28"/>
        </w:rPr>
        <w:t>ще всего является гиперреактивность бронхов на различные раздражители (аллергены).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Аллергенами могут быть некоторые пищевые вещества (ягоды, грибы), пыльца определенных цветов, производственная пыль и др. Иногда причину астматического приступа установить н</w:t>
      </w:r>
      <w:r>
        <w:rPr>
          <w:sz w:val="28"/>
          <w:szCs w:val="28"/>
        </w:rPr>
        <w:t>е удается. Для устранения приступов бронхиальной астмы или их предупреждения используются вещества различных групп, а именно:</w:t>
      </w:r>
    </w:p>
    <w:p w:rsidR="00000000" w:rsidRDefault="00CB467D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Средства, расширяющие бронхи (бронхолитики).</w:t>
      </w:r>
    </w:p>
    <w:p w:rsidR="00000000" w:rsidRDefault="00CB467D">
      <w:pPr>
        <w:tabs>
          <w:tab w:val="left" w:pos="9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Вещества, стимулирующие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>2 - адренорецепторы (сальбутамол, фенотерол, тербутали</w:t>
      </w:r>
      <w:r>
        <w:rPr>
          <w:sz w:val="28"/>
          <w:szCs w:val="28"/>
        </w:rPr>
        <w:t>н, изадрин, орципреналина сульфат).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М-холиноблокаторы (атропина сульфат, метацин, ипратропия бромид).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Спазмолитики миотропного действия (теофиллин, эуфиллин)..</w:t>
      </w:r>
      <w:r>
        <w:rPr>
          <w:sz w:val="28"/>
          <w:szCs w:val="28"/>
        </w:rPr>
        <w:tab/>
        <w:t>Средства, обладающие противовоспалительной и бронхолитической активностью.</w:t>
      </w:r>
    </w:p>
    <w:p w:rsidR="00000000" w:rsidRDefault="00CB467D">
      <w:pPr>
        <w:tabs>
          <w:tab w:val="left" w:pos="10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Стероидные пр</w:t>
      </w:r>
      <w:r>
        <w:rPr>
          <w:sz w:val="28"/>
          <w:szCs w:val="28"/>
        </w:rPr>
        <w:t>отивовоспалительные средства (гидрокортизон, дексаметазон, беклометазон).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Противоаллергические средства (кромолин-натрий, кетотифен).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Средства, влияющие на систему лейкотриенов (зилеутон, зафирлукаст, монтелукаст).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 бронхоспазме п</w:t>
      </w:r>
      <w:r>
        <w:rPr>
          <w:sz w:val="28"/>
          <w:szCs w:val="28"/>
        </w:rPr>
        <w:t xml:space="preserve">рименяют в основном препараты, возбуждающие преимущественно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2 - адренорецепторы - сальбутамол (вентолин, сальгим, сальтос), фенотерол (беротек). Их используют в виде ингаляций.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2-адреномиметики являются быстродействующими бронходилататорами. Кроме того, </w:t>
      </w:r>
      <w:r>
        <w:rPr>
          <w:sz w:val="28"/>
          <w:szCs w:val="28"/>
        </w:rPr>
        <w:t xml:space="preserve">они способствую отделению мокроты.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созданы длительно действующие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2 - адреномиметики салметерол (серевент), формотерол (форадил). Эффект сохраняется около 12 часов, тогда как для сальбутамола он ограничивается 4-6 часами.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>2-адреномимет</w:t>
      </w:r>
      <w:r>
        <w:rPr>
          <w:sz w:val="28"/>
          <w:szCs w:val="28"/>
        </w:rPr>
        <w:t xml:space="preserve">ики могут вызывать тремор, тахикардию, беспокойство, аритмию.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Препараты, стимулирующие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 xml:space="preserve">1- и </w:t>
      </w:r>
      <w:r>
        <w:rPr>
          <w:rFonts w:ascii="Times New Roman" w:hAnsi="Times New Roman" w:cs="Times New Roman"/>
          <w:sz w:val="28"/>
          <w:szCs w:val="28"/>
        </w:rPr>
        <w:t>ß</w:t>
      </w:r>
      <w:r>
        <w:rPr>
          <w:sz w:val="28"/>
          <w:szCs w:val="28"/>
        </w:rPr>
        <w:t xml:space="preserve">2-адренорецепторы (изадрин, орципреналина сульфат), используют в настоящее время гораздо реже, так как у них вышеназванные побочные действия более выражены.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бронхоспазме нередко используют адреналин, влияющий на 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 xml:space="preserve"> - адренорецепторы. При п/к введении он быстро купирует спазм бронхов различной этиологии, а также уменьшает отек слизистой оболочки.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бронхолитика иногда используют эфедрин</w:t>
      </w:r>
      <w:r>
        <w:rPr>
          <w:rFonts w:ascii="Times New Roman" w:hAnsi="Times New Roman" w:cs="Times New Roman"/>
          <w:sz w:val="28"/>
          <w:szCs w:val="28"/>
        </w:rPr>
        <w:t xml:space="preserve"> (α-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</w:t>
      </w:r>
      <w:r>
        <w:rPr>
          <w:sz w:val="28"/>
          <w:szCs w:val="28"/>
        </w:rPr>
        <w:t xml:space="preserve">реномиметик непрямого действия). Из побочных эффектов наблюдается возбуждение ЦНС. К нему развивается лекарственная зависимость.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Бронхолитическим свойствами обладают вещества, блокирующие холинергическую иннервацию бронхов, особенно М-холиноблокаторы. Они</w:t>
      </w:r>
      <w:r>
        <w:rPr>
          <w:sz w:val="28"/>
          <w:szCs w:val="28"/>
        </w:rPr>
        <w:t xml:space="preserve"> по активности уступают адреномиметикам. Из этой группы применяют атропина сульфат, метацин, платифиллин, ипратропия бромид. Недостатками препаратов этой группы являются снижение ими секреции бронхиальных, слюнных и других желез, тахикардия, нарушение акко</w:t>
      </w:r>
      <w:r>
        <w:rPr>
          <w:sz w:val="28"/>
          <w:szCs w:val="28"/>
        </w:rPr>
        <w:t xml:space="preserve">модации. Наименьшими побочными действиями обладает ипратропия бромид (атровент), который в настоящее время используется чаще остальных. Действие этого препарата наступает медленнее, чем у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адреномиметиков, сохраняется около 6 часов. Ипратропий выпускается</w:t>
      </w:r>
      <w:r>
        <w:rPr>
          <w:sz w:val="28"/>
          <w:szCs w:val="28"/>
        </w:rPr>
        <w:t xml:space="preserve"> также в комбинации с фенотеролом - беродуал.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миотропных спазмолитиков при бронхоспазме используют препараты теофиллина, включая эуфиллин. Их применяют внутрь, внутривенно и ректально. Теофеллин снижает также давление в малом круге кровообращения, улучш</w:t>
      </w:r>
      <w:r>
        <w:rPr>
          <w:sz w:val="28"/>
          <w:szCs w:val="28"/>
        </w:rPr>
        <w:t>ает кровоток в сердце, почках, головном мозге. Стимулирует деятельность миокарда; потребность в кислороде при этом возрастает. Оказывает возбуждающее влияние на ЦНС.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теофиллин, особенно в виде длительно действующих препаратов (теотард, те</w:t>
      </w:r>
      <w:r>
        <w:rPr>
          <w:sz w:val="28"/>
          <w:szCs w:val="28"/>
        </w:rPr>
        <w:t>одур, эуфилонг), стали широко использоваться для профилактики бронхоспазма. Однако, следует учитывать небольшую терапевтическую широту теофеллина. Токсическая концентрация в крови превышает терапевтическую всего в 2-4 раза. Поэтому дозировать препараты сле</w:t>
      </w:r>
      <w:r>
        <w:rPr>
          <w:sz w:val="28"/>
          <w:szCs w:val="28"/>
        </w:rPr>
        <w:t xml:space="preserve">дует с осторожностью.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БА широко применяют противовоспалительные (глюкокортикоиды) и противоаллергические средства (далее).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Глюкокортикоиды применяют в виде аэрозолей (бекламетазон, флутиказон, будесонид) и внутрь для системного действия (дексаметазон,</w:t>
      </w:r>
      <w:r>
        <w:rPr>
          <w:sz w:val="28"/>
          <w:szCs w:val="28"/>
        </w:rPr>
        <w:t xml:space="preserve"> преднизолон).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БА предложен препарат, включающий салметерол и глюкокортикоид с преимущественно местным действием флутикозона пропионат (фликсотид). Такой комбинированный препарат называется серетид мультидиск. Бронхолитический эффект салметерол</w:t>
      </w:r>
      <w:r>
        <w:rPr>
          <w:sz w:val="28"/>
          <w:szCs w:val="28"/>
        </w:rPr>
        <w:t xml:space="preserve">а сочетается в нем с противовоспалительным действием флутиказона, что весьма целесообразно для эффективного лечения БА. Вводится препарат с помощью порошкового ингалятора.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представляет также синтетические противоаллергические препараты: кр</w:t>
      </w:r>
      <w:r>
        <w:rPr>
          <w:sz w:val="28"/>
          <w:szCs w:val="28"/>
        </w:rPr>
        <w:t xml:space="preserve">омолин-натрий (интал), недокромил (тайлед). Их применяют для профилактики приступов БА. Вводят ингаляционно. Они блокируют вхождение в тучные клетки ионов кальция и стабилизируют мембрану тучных клеток и их гранул.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противоаллергическим препаратам относи</w:t>
      </w:r>
      <w:r>
        <w:rPr>
          <w:sz w:val="28"/>
          <w:szCs w:val="28"/>
        </w:rPr>
        <w:t xml:space="preserve">тся кетотифен (задитен). Он тормозит выделение медиаторов аллергии из тучных клеток. Применяют для предупреждения приступов бронхиальной астмы.Принимают 2 раза в день. Действие развивается медленно, максимальный эффект наступает через 3-4 недели.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Блокатор</w:t>
      </w:r>
      <w:r>
        <w:rPr>
          <w:sz w:val="28"/>
          <w:szCs w:val="28"/>
        </w:rPr>
        <w:t xml:space="preserve">ы Н1-гистаминорецепторов при БА малоэффективны.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лечении БА важные позиции заняли препараты, влияющие на лейкотриеновую систему. Лейкотриены - это вещества, поддерживающие воспаление. Таким образом, блокируя лейкотриеновую систему, данные лекарственные с</w:t>
      </w:r>
      <w:r>
        <w:rPr>
          <w:sz w:val="28"/>
          <w:szCs w:val="28"/>
        </w:rPr>
        <w:t>редства обладают противовоспалительным эффектом, а также расширяют бронхи. К данной группе относятся зилеутон, зафирлукаст.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применяемые при острой дыхательной недостаточности.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причин ОДН является отек легких. Причинами отека легких могут</w:t>
      </w:r>
      <w:r>
        <w:rPr>
          <w:sz w:val="28"/>
          <w:szCs w:val="28"/>
        </w:rPr>
        <w:t xml:space="preserve"> быть заболевания сердечно-сосудистой системы, инфекционные заболевания, поражения легких химическими веществами, заболевания почек и других органов. Лечение этой тяжелой патологии проводится с учетом основной причины. Однако для оказания срочной помощи мо</w:t>
      </w:r>
      <w:r>
        <w:rPr>
          <w:sz w:val="28"/>
          <w:szCs w:val="28"/>
        </w:rPr>
        <w:t>жно выделить наиболее важные принципы патогенетической терапии отека легких.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высоком артериальном давлении, особенно во время гипертонического криза, назначают ганглиоблокирующие средства (бензогексоний, гигроний), сосудорасширяющие средства миотропног</w:t>
      </w:r>
      <w:r>
        <w:rPr>
          <w:sz w:val="28"/>
          <w:szCs w:val="28"/>
        </w:rPr>
        <w:t xml:space="preserve">о дествия (натрия нитропрусид), </w:t>
      </w:r>
      <w:r>
        <w:rPr>
          <w:rFonts w:ascii="Times New Roman" w:hAnsi="Times New Roman" w:cs="Times New Roman"/>
          <w:sz w:val="28"/>
          <w:szCs w:val="28"/>
        </w:rPr>
        <w:t xml:space="preserve">α- </w:t>
      </w:r>
      <w:r>
        <w:rPr>
          <w:sz w:val="28"/>
          <w:szCs w:val="28"/>
        </w:rPr>
        <w:t xml:space="preserve">адреноблокаторы (фентоламин, аминазин).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важным является снижение давления в малом круге кровообращения, что уменьшает транссудацию жидкости из легочных капилляров, и способствуют ее резорбции в сосуды и оттоку. </w:t>
      </w:r>
      <w:r>
        <w:rPr>
          <w:sz w:val="28"/>
          <w:szCs w:val="28"/>
        </w:rPr>
        <w:t xml:space="preserve">Снижение давления крови в малом круге кровообращения за счет перераспределения крови в организме можно добиться наркотическими анальгетиками - морфином, фентанилом, таламоналом.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явлениях сердечной недостаточности можно воспользоваться сердечными глико</w:t>
      </w:r>
      <w:r>
        <w:rPr>
          <w:sz w:val="28"/>
          <w:szCs w:val="28"/>
        </w:rPr>
        <w:t xml:space="preserve">зидами. Широкое применение при отеке легких находят дегидратирующие и мочегонные средства (маннит, мочевина, фуросемид, этакриновая кислота). </w:t>
      </w:r>
      <w:r>
        <w:rPr>
          <w:color w:val="FFFFFF"/>
          <w:sz w:val="28"/>
          <w:szCs w:val="28"/>
        </w:rPr>
        <w:t>остановка дыхание аналептик противокашлевый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пенообразования в альвеолах, независимо от причины отек</w:t>
      </w:r>
      <w:r>
        <w:rPr>
          <w:sz w:val="28"/>
          <w:szCs w:val="28"/>
        </w:rPr>
        <w:t>а, используются пеногасители: пары спирта этилового с кислородом, антифомсилан. При ингаляционном их введении понижается поверхностное натяжение пузырьков пены и освобождаются дыхательная поверхность альвеол.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Частым компонентом в комплексном лечении отека </w:t>
      </w:r>
      <w:r>
        <w:rPr>
          <w:sz w:val="28"/>
          <w:szCs w:val="28"/>
        </w:rPr>
        <w:t xml:space="preserve">легких являются глюкокортикоиды, обладающие противовоспалительным действием.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отека легких используется оксигенотерапия интратрахеально или сурфактант, полученный из легких.</w:t>
      </w:r>
    </w:p>
    <w:p w:rsidR="00000000" w:rsidRDefault="00CB467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Препараты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Кодеина фосфат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противокашлевое средство назначают </w:t>
      </w:r>
      <w:r>
        <w:rPr>
          <w:sz w:val="28"/>
          <w:szCs w:val="28"/>
        </w:rPr>
        <w:t>внутрь. Входит в состав успокаивающих и анальгезирующих прописей.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для кодеина: разовая - 0,05 г, суточная - 0,2 г; для кодеина фосфата: разовая 0 0,1 г, суточная - 0,3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выпуска: кодеина - порошок и таблетки по 0,15 г, кодеина фосфата - </w:t>
      </w:r>
      <w:r>
        <w:rPr>
          <w:sz w:val="28"/>
          <w:szCs w:val="28"/>
        </w:rPr>
        <w:t>порошок и 0,02% раствор для применения в детской практике.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отсвета месте.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Глауцина гидрохлорид (</w:t>
      </w:r>
      <w:r>
        <w:rPr>
          <w:sz w:val="28"/>
          <w:szCs w:val="28"/>
          <w:lang w:val="en-US"/>
        </w:rPr>
        <w:t>Glaucini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0,05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0,05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Либексин (</w:t>
      </w:r>
      <w:r>
        <w:rPr>
          <w:sz w:val="28"/>
          <w:szCs w:val="28"/>
          <w:lang w:val="en-US"/>
        </w:rPr>
        <w:t>Libexin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0,1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0,1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Этил морфина ги</w:t>
      </w:r>
      <w:r>
        <w:rPr>
          <w:sz w:val="28"/>
          <w:szCs w:val="28"/>
        </w:rPr>
        <w:t>дрохлорид (</w:t>
      </w:r>
      <w:r>
        <w:rPr>
          <w:sz w:val="28"/>
          <w:szCs w:val="28"/>
          <w:lang w:val="en-US"/>
        </w:rPr>
        <w:t>Aethylmorphini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hydrochloridum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Синоним: дионин.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 качестве противокашлевого средства внутрь по 0,01, 0,03 г и в виде 2% раствора (глазные капли).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- 0,03 г, суточная - 0,1г.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выпуска: порошок и таблетки по 0,1 </w:t>
      </w:r>
      <w:r>
        <w:rPr>
          <w:sz w:val="28"/>
          <w:szCs w:val="28"/>
        </w:rPr>
        <w:t>и 0,015 г. Хранение: список А; в хорошо укупоренных банках оранжевого стекла, таблетки - в защищенном от света месте.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Окселадина цитрат (</w:t>
      </w:r>
      <w:r>
        <w:rPr>
          <w:sz w:val="28"/>
          <w:szCs w:val="28"/>
          <w:lang w:val="en-US"/>
        </w:rPr>
        <w:t>Oxeladii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citrate</w:t>
      </w:r>
      <w:r>
        <w:rPr>
          <w:sz w:val="28"/>
          <w:szCs w:val="28"/>
        </w:rPr>
        <w:t xml:space="preserve">), тусупрекс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при кашле.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0,01 и 0,02 ; капсулы по 0,04 г; с</w:t>
      </w:r>
      <w:r>
        <w:rPr>
          <w:sz w:val="28"/>
          <w:szCs w:val="28"/>
        </w:rPr>
        <w:t>ироп во флаконах.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Трава термопсиса (</w:t>
      </w:r>
      <w:r>
        <w:rPr>
          <w:sz w:val="28"/>
          <w:szCs w:val="28"/>
          <w:lang w:val="en-US"/>
        </w:rPr>
        <w:t>Herba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Thermopsidis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 качестве отхаркивающего средства в виде порошка; настоя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( 1: 400) по 1 столовой ложке; сухого экстракта. Входит в состав сложных таблеток.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 травы термопсиса внутрь: разовая - 0,</w:t>
      </w:r>
      <w:r>
        <w:rPr>
          <w:sz w:val="28"/>
          <w:szCs w:val="28"/>
        </w:rPr>
        <w:t>1 г, суточная - 0,3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Терпингидрат (</w:t>
      </w:r>
      <w:r>
        <w:rPr>
          <w:sz w:val="28"/>
          <w:szCs w:val="28"/>
          <w:lang w:val="en-US"/>
        </w:rPr>
        <w:t>Terpinum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hydratum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0,25 - 0,5 г на прием как отхаркивающее средство.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порошок, таблетки по 0,25 и 0,5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хорошо укупоренной таре.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бензоат (</w:t>
      </w:r>
      <w:r>
        <w:rPr>
          <w:sz w:val="28"/>
          <w:szCs w:val="28"/>
          <w:lang w:val="en-US"/>
        </w:rPr>
        <w:t>Natrii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benzoas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как отхаркивающее средство по 0,2 - 0,5 г на прием.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 также в вену (15% раствор) при абсцессе легкого, гнилостном бронхите.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Калия йодид (</w:t>
      </w:r>
      <w:r>
        <w:rPr>
          <w:sz w:val="28"/>
          <w:szCs w:val="28"/>
          <w:lang w:val="en-US"/>
        </w:rPr>
        <w:t>Kalii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iodidum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1 столовой ложке 3-4 % раствора после еды как отхарки</w:t>
      </w:r>
      <w:r>
        <w:rPr>
          <w:sz w:val="28"/>
          <w:szCs w:val="28"/>
        </w:rPr>
        <w:t>вающее средство и при заболеваниях щитовидной железы.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хорошо укупоренных банках оранжевого стекла.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Трипсин кристаллический (</w:t>
      </w:r>
      <w:r>
        <w:rPr>
          <w:sz w:val="28"/>
          <w:szCs w:val="28"/>
          <w:lang w:val="en-US"/>
        </w:rPr>
        <w:t>Trypsinum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crystallisatum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внутримышечно по 0,005- 0,01 г (5-10 мг) в 2-3 мл стерильного изотонического раствор</w:t>
      </w:r>
      <w:r>
        <w:rPr>
          <w:sz w:val="28"/>
          <w:szCs w:val="28"/>
        </w:rPr>
        <w:t>а натрия хлорида и для ингаляций.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ампулы и герметически укупоренные флаконы, содержащие по 0,005 и 0,01 г трипсина кристаллического.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сухом, защищенном от света месте при температуре не выше 10о С.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Дезоксирибонуклеаза (</w:t>
      </w:r>
      <w:r>
        <w:rPr>
          <w:sz w:val="28"/>
          <w:szCs w:val="28"/>
          <w:lang w:val="en-US"/>
        </w:rPr>
        <w:t>Desoxyribon</w:t>
      </w:r>
      <w:r>
        <w:rPr>
          <w:sz w:val="28"/>
          <w:szCs w:val="28"/>
          <w:lang w:val="en-US"/>
        </w:rPr>
        <w:t>ucleasa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 виде 0,2% раствора для глазных капель и для ингаляций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 3 мл на ингаляцию).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 герметически укупоренных флаконах, содержащих по 5,10,25 и 50 мг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200 С.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Бромгексин (</w:t>
      </w:r>
      <w:r>
        <w:rPr>
          <w:sz w:val="28"/>
          <w:szCs w:val="28"/>
          <w:lang w:val="en-US"/>
        </w:rPr>
        <w:t>Bromhexinum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0,016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Таблетки по 0,008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уфиллин (</w:t>
      </w:r>
      <w:r>
        <w:rPr>
          <w:sz w:val="28"/>
          <w:szCs w:val="28"/>
          <w:lang w:val="en-US"/>
        </w:rPr>
        <w:t>Euphyllinum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0,1-0,15 г; в/м 0,24-0,36 г; в/в 0,12-0,24 г.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Порошок; таблетки по 0,15 г; ампулы для в/м введения по 1 мл 24% р-ра; для в/в введения по 10 мл 2,4% р-ра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Кромолин-натрий (</w:t>
      </w:r>
      <w:r>
        <w:rPr>
          <w:sz w:val="28"/>
          <w:szCs w:val="28"/>
          <w:lang w:val="en-US"/>
        </w:rPr>
        <w:t>Cromolynum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natrium</w:t>
      </w:r>
      <w:r>
        <w:rPr>
          <w:sz w:val="28"/>
          <w:szCs w:val="28"/>
        </w:rPr>
        <w:t>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Ингаляционно содержимое одной капсулы</w:t>
      </w:r>
      <w:r>
        <w:rPr>
          <w:sz w:val="28"/>
          <w:szCs w:val="28"/>
        </w:rPr>
        <w:t xml:space="preserve"> (0,02 г)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Капсулы по 0,02 г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рецепторов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Codeini</w:t>
      </w:r>
      <w:r>
        <w:rPr>
          <w:sz w:val="28"/>
          <w:szCs w:val="28"/>
        </w:rPr>
        <w:t xml:space="preserve"> 0,015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Natrii hydrocarbonatis 0,25.t. d. N 6 in tabul</w:t>
      </w:r>
      <w:r>
        <w:rPr>
          <w:sz w:val="28"/>
          <w:szCs w:val="28"/>
        </w:rPr>
        <w:t>. Принимать по 1 таблетке 2-3 раза в день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Inf</w:t>
      </w:r>
      <w:r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Herbae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Thermopsidis</w:t>
      </w:r>
      <w:r>
        <w:rPr>
          <w:sz w:val="28"/>
          <w:szCs w:val="28"/>
        </w:rPr>
        <w:t xml:space="preserve"> 0,6 - 180 </w:t>
      </w:r>
      <w:r>
        <w:rPr>
          <w:sz w:val="28"/>
          <w:szCs w:val="28"/>
          <w:lang w:val="en-US"/>
        </w:rPr>
        <w:t>ml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Принимать по 1 столовой ложке 3-4 раза в день. </w:t>
      </w:r>
    </w:p>
    <w:p w:rsidR="00000000" w:rsidRDefault="00CB46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Rp.: Trypsini crystallisati 0,01.t.d. N 6 in amp.</w:t>
      </w:r>
      <w:r>
        <w:rPr>
          <w:sz w:val="28"/>
          <w:szCs w:val="28"/>
        </w:rPr>
        <w:t xml:space="preserve">. Для ингаляций растворить в 2 мл изотонического раствора натрия хлорида.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CB467D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000000" w:rsidRDefault="00CB467D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000000" w:rsidRDefault="00CB467D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Аничков С.В., Беленький М.Л. Учебник фармакологии. - МЕДГИЗ ленинградское объединение, 1955.</w:t>
      </w:r>
    </w:p>
    <w:p w:rsidR="00000000" w:rsidRDefault="00CB467D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Крылов Ю.Ф., Бобырев</w:t>
      </w:r>
      <w:r>
        <w:rPr>
          <w:sz w:val="28"/>
          <w:szCs w:val="28"/>
        </w:rPr>
        <w:t xml:space="preserve"> В.М. Фармакология. - М.: ВХНМЦ МЗ РФ, 1999. - 352 с.</w:t>
      </w:r>
    </w:p>
    <w:p w:rsidR="00000000" w:rsidRDefault="00CB467D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Кудрин А.Н., Скакун Н.П. Фармакогенетика и лекарства: серия "Медицина". - М.: Знание, 1975</w:t>
      </w:r>
    </w:p>
    <w:p w:rsidR="00CB467D" w:rsidRDefault="00CB467D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CB46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9"/>
    <w:rsid w:val="00CB467D"/>
    <w:rsid w:val="00D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2978</Words>
  <Characters>16978</Characters>
  <Application>Microsoft Office Word</Application>
  <DocSecurity>0</DocSecurity>
  <Lines>141</Lines>
  <Paragraphs>39</Paragraphs>
  <ScaleCrop>false</ScaleCrop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2024-03-05T21:02:00Z</dcterms:created>
  <dcterms:modified xsi:type="dcterms:W3CDTF">2024-03-05T21:02:00Z</dcterms:modified>
</cp:coreProperties>
</file>