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7BA9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Стандарты иммунизации в педиатрической практике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Рекомендованы Национальным консультативным комитетом по вакцинам, апрель 1992 г.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Утверждены Службой общественного з</w:t>
      </w:r>
      <w:r>
        <w:rPr>
          <w:rFonts w:ascii="Times New Roman" w:hAnsi="Times New Roman" w:cs="Times New Roman"/>
          <w:color w:val="000000"/>
          <w:sz w:val="24"/>
          <w:szCs w:val="24"/>
        </w:rPr>
        <w:t>дравоохранения США, май 1992 г.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Одобрены Американской академией педиатрии, май 1992 г. и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Консультативным комитетом по иммунопрофилактике, июнь 1992 г.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Стандарты иммунизации в педиатрической практике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Другие организации, одобрившие Стандарты иммунизации в пе</w:t>
      </w:r>
      <w:r>
        <w:rPr>
          <w:rFonts w:ascii="Times New Roman" w:hAnsi="Times New Roman" w:cs="Times New Roman"/>
          <w:color w:val="000000"/>
          <w:sz w:val="24"/>
          <w:szCs w:val="24"/>
        </w:rPr>
        <w:t>диатрической практике (ноябрь 1994 г)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Консультативный комитет по иммунопрофилактике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Страховая компания Этна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Американская академия семейных врачей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Американская академия педиатрии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Американская ассоциация медицинских сестер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Американское общество психопрофилак</w:t>
      </w:r>
      <w:r>
        <w:rPr>
          <w:rFonts w:ascii="Times New Roman" w:hAnsi="Times New Roman" w:cs="Times New Roman"/>
          <w:color w:val="000000"/>
          <w:sz w:val="24"/>
          <w:szCs w:val="24"/>
        </w:rPr>
        <w:t>тики в акушерстве, Инк.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Ассоциация программ по охране здоровья матери и ребенка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Конференция эпидемиологов штатов и территорий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Фонд поддержки лиц с врожденными пороками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Национальная ассоциация детских больниц и учреждений сходных профилей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Национальная ассоц</w:t>
      </w:r>
      <w:r>
        <w:rPr>
          <w:rFonts w:ascii="Times New Roman" w:hAnsi="Times New Roman" w:cs="Times New Roman"/>
          <w:color w:val="000000"/>
          <w:sz w:val="24"/>
          <w:szCs w:val="24"/>
        </w:rPr>
        <w:t>иация детских сестер и практикующих педиатров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Национальная ассоциация перинатологов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Национальная ассоциация школьных медицинских сестер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Национальная медицинская ассоциация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Ковчег (ранее, Ассоциация граждан с задержками развития)</w:t>
      </w:r>
    </w:p>
    <w:p w:rsidR="00000000" w:rsidRDefault="000C7BA9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Предисловие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идеальном слу</w:t>
      </w:r>
      <w:r>
        <w:rPr>
          <w:rFonts w:ascii="Times New Roman" w:hAnsi="Times New Roman" w:cs="Times New Roman"/>
          <w:color w:val="000000"/>
          <w:sz w:val="24"/>
          <w:szCs w:val="24"/>
        </w:rPr>
        <w:t>чае иммунопрофилактика должна являться неотъемлемой частью комплекса мероприятий по охране здоровья матери и ребенка. Это та конечная цель, неуклонное стремление к достижению которой должно привести к созданию лучшей модели первичной профилактики болезней,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которая может существовать в рамках американской системы здравоохранения.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совершенствование нашей системы оказания первичной медицинской помощи требует серьезных усилий и времени. Однако мы обязаны обеспечить эффективную иммунизацию наших детей,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дожидаясь изменений в этой системе. Существующая практика и политика в области здравоохранения повсеместно приводит к тому, что многие дети дошкольного возраста не получают прививок в соответствии с разработанными календарем. Эта ситуация прежде всего выз</w:t>
      </w:r>
      <w:r>
        <w:rPr>
          <w:rFonts w:ascii="Times New Roman" w:hAnsi="Times New Roman" w:cs="Times New Roman"/>
          <w:color w:val="000000"/>
          <w:sz w:val="24"/>
          <w:szCs w:val="24"/>
        </w:rPr>
        <w:t>вана существующими барьерами на пути проведения эффективной иммунопрофилактики и многочисленными упущенными возможностями для вакцинации во время посещений детьми пациентами медицинских учреждений. Изменение политики и практики в этой области может резко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овысить уровень охвата иммунизацией. Необходимо перейти к более гибкой, ориентированной на семью,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восприимчивой к культурным особенностям людей, комплексной системе первичной медицинской помощи, способной своевременно обеспечивать население (прежде всего д</w:t>
      </w:r>
      <w:r>
        <w:rPr>
          <w:rFonts w:ascii="Times New Roman" w:hAnsi="Times New Roman" w:cs="Times New Roman"/>
          <w:color w:val="000000"/>
          <w:sz w:val="24"/>
          <w:szCs w:val="24"/>
        </w:rPr>
        <w:t>етей и их родителей) экономически эффективными и качественными услугами. Недостатки сегодняшней практики иммунизации подтверждается вспышками кори и, в результате, повышением показателей детской смертности, что может служить предзнаменованием вспышек други</w:t>
      </w:r>
      <w:r>
        <w:rPr>
          <w:rFonts w:ascii="Times New Roman" w:hAnsi="Times New Roman" w:cs="Times New Roman"/>
          <w:color w:val="000000"/>
          <w:sz w:val="24"/>
          <w:szCs w:val="24"/>
        </w:rPr>
        <w:t>х предотвращаемых вакцинами болезней.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мы действительно хотим защитить наших детей и достичь к 2000 году 90-процентного уровня охвата иммунизацией среди двухлетних, существующую в настоящее время практику иммунизации необходимо изменить.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Стандарты имму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низации в педиатрической практике предлагают пути к разрешению существующих проблем. Эти Стандарты рекомендованы к использованию всеми работниками государственного и частного секторов здравоохранения, отвечающими за организацию и практическое осуществление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по вакцинопрофилактике. Стандарты определяют наиболее оптимальную практику иммунизации, к которой медицинские работники должны стремиться. Приняв Стандарты, медицинские работники могут начать совершенствовать работу по иммунизации в своих учре</w:t>
      </w:r>
      <w:r>
        <w:rPr>
          <w:rFonts w:ascii="Times New Roman" w:hAnsi="Times New Roman" w:cs="Times New Roman"/>
          <w:color w:val="000000"/>
          <w:sz w:val="24"/>
          <w:szCs w:val="24"/>
        </w:rPr>
        <w:t>ждениях. Понятно, что не у всех врачей имеются финансовые ресурсы для обеспечения немедленной и полной реализации настоящих стандартов. Тем не менее, даже в таких обстоятельствах Стандарты могут быть использованы как средство для лучшего определения потреб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ностей в области вакцинопрофилактики и получения дополнительных ресурсов в будущем для успешного выполнения задач программы “Здоровая нация 2000”. </w:t>
      </w:r>
    </w:p>
    <w:p w:rsidR="00000000" w:rsidRDefault="000C7BA9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Стандарты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1. Услуги в области вакцинопрофилактики легкодоступны.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2. Для вакцинации нет пре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пятствий и ненужных предварительных условий.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3. Услуги в области вакцинопрофилактики предоставляются бесплатно или за минимальную плату.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4. Медицинские работники используют любое обращение с ребенком для выявления его потребности в вакци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нации и при необходимости в ее проведении.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5. Медицинские работники в доступной форме просвещают родителей или опекунов ребенка относительно иммунизации.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6. Медицинские работники расспрашивают родителей или опекунов ребенка о противопока</w:t>
      </w:r>
      <w:r>
        <w:rPr>
          <w:rFonts w:ascii="Times New Roman" w:hAnsi="Times New Roman" w:cs="Times New Roman"/>
          <w:color w:val="000000"/>
          <w:sz w:val="24"/>
          <w:szCs w:val="24"/>
        </w:rPr>
        <w:t>заниях и перед вакцинацией информируют их о риске и пользе прививок, которые планируется сделать ребенку.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7. Медицинские работники следуют только истинным противопоказаниям.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8. Медицинский работник обеспечивает одновременное введение всех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доз вакцин, которые ребенок должен получить в соответствии со своим возрастом на момент каждого посещения.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9. Медицинские работники используют четкие и полные процедуры ведения документации.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 10. Медицинские работники совмещают посещение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в целях вакцинации с оказанием других медицинских услуг ребенку.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11. Медицинские работники сообщают о побочных реакциях на прививки незамедлительно, точно и в полном объеме.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12. Медицинские работники используют систему регистрации, позвол</w:t>
      </w:r>
      <w:r>
        <w:rPr>
          <w:rFonts w:ascii="Times New Roman" w:hAnsi="Times New Roman" w:cs="Times New Roman"/>
          <w:color w:val="000000"/>
          <w:sz w:val="24"/>
          <w:szCs w:val="24"/>
        </w:rPr>
        <w:t>яющую осуществлять вызовы на прививки.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13. Медицинские работники соблюдают соответствующие правила обращения с вакцинами.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14. Медицинские работники проводят полугодовые оценки уровня охвата прививками и просматривают прививочные карты обс</w:t>
      </w:r>
      <w:r>
        <w:rPr>
          <w:rFonts w:ascii="Times New Roman" w:hAnsi="Times New Roman" w:cs="Times New Roman"/>
          <w:color w:val="000000"/>
          <w:sz w:val="24"/>
          <w:szCs w:val="24"/>
        </w:rPr>
        <w:t>луживаемого населения.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15. Во всех учреждениях, где проводится иммунизация, медицинские работники обновляют легкодоступные медицинские прививочные протоколы.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 16. Медицинские работники проводят работу, используя методы, ориентированные на </w:t>
      </w:r>
      <w:r>
        <w:rPr>
          <w:rFonts w:ascii="Times New Roman" w:hAnsi="Times New Roman" w:cs="Times New Roman"/>
          <w:color w:val="000000"/>
          <w:sz w:val="24"/>
          <w:szCs w:val="24"/>
        </w:rPr>
        <w:t>пациента и базирующиеся в общине.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Стандарт 17. Вакцины вводятся адекватно обученным персоналом.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Стандарт 18. Медицинские работники постоянно совершенствуют знания и практические навыки в соответствии текущими рекомендациями по иммунизации. </w:t>
      </w:r>
    </w:p>
    <w:p w:rsidR="00000000" w:rsidRDefault="000C7BA9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Обсуждение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Ус</w:t>
      </w:r>
      <w:r>
        <w:rPr>
          <w:rFonts w:ascii="Times New Roman" w:hAnsi="Times New Roman" w:cs="Times New Roman"/>
          <w:color w:val="000000"/>
          <w:sz w:val="24"/>
          <w:szCs w:val="24"/>
        </w:rPr>
        <w:t>луги в области вакцинопрофилактики легкодоступны.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Мероприятия по вакцинопрофилактике должны соответствовать нуждам пациентов. К примеру, в больших урбанизированных районах общественные службы вакцинопрофилактики должны работать ежедневно, по 8 часов в день</w:t>
      </w:r>
      <w:r>
        <w:rPr>
          <w:rFonts w:ascii="Times New Roman" w:hAnsi="Times New Roman" w:cs="Times New Roman"/>
          <w:color w:val="000000"/>
          <w:sz w:val="24"/>
          <w:szCs w:val="24"/>
        </w:rPr>
        <w:t>. В небольших городах и сельских районах необходимости в ежедневной работе таких служб нет. Чтобы полностью удовлетворять потребности населения, медицинские работники во многих местах должны предусмотреть ежедневный режим работы, а также работу во внеурочн</w:t>
      </w:r>
      <w:r>
        <w:rPr>
          <w:rFonts w:ascii="Times New Roman" w:hAnsi="Times New Roman" w:cs="Times New Roman"/>
          <w:color w:val="000000"/>
          <w:sz w:val="24"/>
          <w:szCs w:val="24"/>
        </w:rPr>
        <w:t>ое время (в выходные дни, по вечерам, ранним утром или в обеденное время). Вакцинопрофилактика должна проводиться по тем же дням и в те же часы, что и остальные медицинские услуги для детей (напр., в рамках Специальной программы питания для женщин и детей)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данном учреждении. Частнопрактикующие врачи, предоставляющие первичную медицинскую помощь грудным более старшим детям, должны включить вакцинопрофилактику в общий план медицинского обслуживания.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Доступность иммунопрофилактики подразумевает постоянное на</w:t>
      </w:r>
      <w:r>
        <w:rPr>
          <w:rFonts w:ascii="Times New Roman" w:hAnsi="Times New Roman" w:cs="Times New Roman"/>
          <w:color w:val="000000"/>
          <w:sz w:val="24"/>
          <w:szCs w:val="24"/>
        </w:rPr>
        <w:t>личие в учреждении адекватного количества вакцинных препаратов.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Для вакцинации нет препятствий и ненужных предварительных условий.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иммунопрофилактики, основанная на приеме пациентов только в назначенные дни, часто служит препятствием на пути 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едения эффективной иммунизации населения как в общественном, так и в частном секторах здравоохранения. Поэтому целесообразно ввести систему свободных посещений, при которой родители ребенка смогут приводить его к врачу в любое удобное для них время. Это пр</w:t>
      </w:r>
      <w:r>
        <w:rPr>
          <w:rFonts w:ascii="Times New Roman" w:hAnsi="Times New Roman" w:cs="Times New Roman"/>
          <w:color w:val="000000"/>
          <w:sz w:val="24"/>
          <w:szCs w:val="24"/>
        </w:rPr>
        <w:t>авило должно распространяться как на новых пациентов, так и на тех, кто находится под постоянным наблюдением. Время ожидания прививки должно быть сведено к минимуму и не превышать 30 минут. Кроме того, введение вакцины не должно обязательно связываться с в</w:t>
      </w:r>
      <w:r>
        <w:rPr>
          <w:rFonts w:ascii="Times New Roman" w:hAnsi="Times New Roman" w:cs="Times New Roman"/>
          <w:color w:val="000000"/>
          <w:sz w:val="24"/>
          <w:szCs w:val="24"/>
        </w:rPr>
        <w:t>ключением пациента в программу наблюдения за здоровым ребенком, за исключением случаев, когда включение в программу не связано с ожиданием. Дети, обратившиеся только с целью получения прививки, должны пройти быстрый и эффективный скрининг без каких-либо до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полнительных полномасштабных обследований. Тем не менее, ребенку, получившему прививку таким “экспресс-методом” и не наблюдаемого постоянно медицинским работником, следует дать направление к одному из них. В тех случаях, когда предварительный медицинский о</w:t>
      </w:r>
      <w:r>
        <w:rPr>
          <w:rFonts w:ascii="Times New Roman" w:hAnsi="Times New Roman" w:cs="Times New Roman"/>
          <w:color w:val="000000"/>
          <w:sz w:val="24"/>
          <w:szCs w:val="24"/>
        </w:rPr>
        <w:t>смотр и измерение температуры могут задержать или помешать своевременной вакцинации, их проводить не следует (так, ожидание медицинского осмотра в некоторых учреждениях может длиться недели и даже месяцы). Достаточно надежное решение о вакцинации может быт</w:t>
      </w:r>
      <w:r>
        <w:rPr>
          <w:rFonts w:ascii="Times New Roman" w:hAnsi="Times New Roman" w:cs="Times New Roman"/>
          <w:color w:val="000000"/>
          <w:sz w:val="24"/>
          <w:szCs w:val="24"/>
        </w:rPr>
        <w:t>ь основано исключительно на информации, полученной от родителей или опекунов, а также на наблюдениях медицинского работника относительно здоровья ребенка на момент посещения. Перед прививкой ребенок должен пройти минимальную предварительную оценку, включаю</w:t>
      </w:r>
      <w:r>
        <w:rPr>
          <w:rFonts w:ascii="Times New Roman" w:hAnsi="Times New Roman" w:cs="Times New Roman"/>
          <w:color w:val="000000"/>
          <w:sz w:val="24"/>
          <w:szCs w:val="24"/>
        </w:rPr>
        <w:t>щую: а) определение общего состояния здоровья; б) опрос родителей или опекунов ребенка о состоянии его здоровья и; в) опрос родителей или опекунов относительно возможно имеющихся у пациента противопоказаний к вакцинации (см. таблицу приложения).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медицинских учреждениях введение вакцины не должно зависеть от наличия или отсутствия индивидуальных письменных распоряжений или направления, данного пациенту медицинским работником первичного звена. Скорее, следует разработать и применять постоянно д</w:t>
      </w:r>
      <w:r>
        <w:rPr>
          <w:rFonts w:ascii="Times New Roman" w:hAnsi="Times New Roman" w:cs="Times New Roman"/>
          <w:color w:val="000000"/>
          <w:sz w:val="24"/>
          <w:szCs w:val="24"/>
        </w:rPr>
        <w:t>ействующие указания.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Услуги в области вакцинопрофилактики предоставляются бесплатно или за минимальную плату.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общественного здравоохранения услуги в области иммунопрофилактики должны предоставляться бесплатно. В случае необходимостиоплаты, она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должна быть минимальной. В частном секторе тарифы должны включать стоимость вакцины и, в разумных пределах, сумму на покрытие административных расходов. Доступность иммунизации ограничит фрагментацию процесса оказания медицинской помощи и повысит уровень о</w:t>
      </w:r>
      <w:r>
        <w:rPr>
          <w:rFonts w:ascii="Times New Roman" w:hAnsi="Times New Roman" w:cs="Times New Roman"/>
          <w:color w:val="000000"/>
          <w:sz w:val="24"/>
          <w:szCs w:val="24"/>
        </w:rPr>
        <w:t>хвата прививками детского населения. Медицинские работники частного и общественного секторов, взимающие плату за введение вакцин, полученных по единому федеральному контракту, должны ясно показать позицию государства в этой сфере - никому не будет отказано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прививках только из-за неспособности заплатить за них.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Медицинские работники используют любое обращение с ребенком для выявления потребности в вакцинации и, при необходимости, в ее проведении.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визит в медицинское учреждение, включая обращение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>о скорой помощи или госпитализацию, дает возможность оценить прививочный статус ребенка и, при наличии показаний, сделать необходимые прививки. Перед выпиской из больницы дети должны получать прививки в соответствие с возрастом и/или состоянием здоровья.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остоянный медицинский работник должен быть извещен о сделанных ребенку прививках. Выполнение этого стандарта сведет к минимуму число упущенных возможностей иммунизации.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дети, сопровождающие своих родителей, братьев или сестер во время посещени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ими медицинского учреждения, также должны пройти оценку и, при наличии показаний, получить необходимые прививки.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Работники специализированных клиник (напр., онкологических), обслуживающие детей, должны уделять особое внимание выяснению прививочного стату</w:t>
      </w:r>
      <w:r>
        <w:rPr>
          <w:rFonts w:ascii="Times New Roman" w:hAnsi="Times New Roman" w:cs="Times New Roman"/>
          <w:color w:val="000000"/>
          <w:sz w:val="24"/>
          <w:szCs w:val="24"/>
        </w:rPr>
        <w:t>са своих пациентов, и, при необходимости, вакцинировать их или направлять на вакцинацию в соответствующие службы. Врачи других специальностей также должны оценивать прививочный статус своих пациентов и прививать их или направлять на прививки в показанных с</w:t>
      </w:r>
      <w:r>
        <w:rPr>
          <w:rFonts w:ascii="Times New Roman" w:hAnsi="Times New Roman" w:cs="Times New Roman"/>
          <w:color w:val="000000"/>
          <w:sz w:val="24"/>
          <w:szCs w:val="24"/>
        </w:rPr>
        <w:t>лучаях.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Медицинские работники в доступной форме просвещают родителей или опекунов ребенка относительно иммунизации.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Медицинские работники должны в культурной и вежливой форме просвещать родителей и опекунов ребенка, желательно на их родном языке, относит</w:t>
      </w:r>
      <w:r>
        <w:rPr>
          <w:rFonts w:ascii="Times New Roman" w:hAnsi="Times New Roman" w:cs="Times New Roman"/>
          <w:color w:val="000000"/>
          <w:sz w:val="24"/>
          <w:szCs w:val="24"/>
        </w:rPr>
        <w:t>ельно иммунизации, болезней, от которых она предохраняет, рекомендованного календаря прививок, необходимости получать прививки в рекомендованном возрасте, а также советовать им иметь при себе при каждом посещении врача карту прививок ребенка. Следует помоч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родителям осознать ответственность за своевременное получение ребенком всех необходимых прививок. Медицинские работники должны уметь отвечать на все вопросы, которые могут задать родители или опекуны, и предоставить им соответствующие печатные материалы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доступном уровне и родном языке.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Медицинские работники расспрашивают родителей или опекунов ребенка о противопоказаниях и перед вакцинацией информируют из о риске и пользе прививок, которые планируется сделать ребенку.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Минимальная приемлемая процедур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выявления противопоказаний включает опрос для выяснения наличия в анамнезе ребенка побочных реакций на предыдущие прививки и определения каких-либо текущих противопоказаний (см. таблицу Приложения).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Информационные брошюры по вакцинам (против кори, парот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ита, краснухи, дифтерии, столбняка и полиомиелита; эти брошюры начиная с 15 апреля 1992 года являются обязательными к повсеместному применению всеми медработниками, которые вводят вакцины, закупленные по федеральному контракту) следует раздавать родителям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опекунам и просматривать их вместе с ними. Частнопрактикующие врачи, приобретающие вакцины на собственные средства, должны пользоваться этими брошюрами или создавать и использовать альтернативные материалы по вакцинам. Эти материалы должны соответствов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 требованиям текущего законодательства. Подобная информация, содержащаяся в Важных Информационных Сообщениях относительно других вакцин (например, против гепатита В и гемофильной палочки типа b) должна доводиться до сведения всех родителей или опекунов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работниками государственных и частных медицинских учреждений. Медицинские работники должны обеспечивать пациентов информационными материалами, написанными на родном для них языке, а также следить за регулярным обновлением этих материалов. Медицинские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ники должны помогать родителям или опекунам ребенка правильно понимать прочитанное и отвечать на возникающие у них вопросы.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Медицинские работники должны объяснить родителям ребенка, где и как получить медицинскую помощь в дневное и вечернее время в случае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проявления у ребенка побочных эффектов вакцин.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Медицинские работники следуют только истинным противопоказаниям.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Медицинские работники часто принимают ряд состояний и симптомов у пациента за истинные противопоказания к вакцинации в то время, как они тако</w:t>
      </w:r>
      <w:r>
        <w:rPr>
          <w:rFonts w:ascii="Times New Roman" w:hAnsi="Times New Roman" w:cs="Times New Roman"/>
          <w:color w:val="000000"/>
          <w:sz w:val="24"/>
          <w:szCs w:val="24"/>
        </w:rPr>
        <w:t>выми не являются. Это приводит к ненужной отсрочке плановых прививок. Прилагаемая Таблица истинных противопоказаний основана на рекомендациях Комитета по практике иммунизации (ККПИ) и Рекомендациях Американской академии педиатрии (ААП). Они не всегда совпа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дают с рекомендациями, приведенными производителями вакцин на упаковочных вкладышах. Для получения более подробной информации медицинским работникам следует ознакомиться с опубликованными рекомендациями ККПИ, ААП и Американской академии семейных врачей, а </w:t>
      </w:r>
      <w:r>
        <w:rPr>
          <w:rFonts w:ascii="Times New Roman" w:hAnsi="Times New Roman" w:cs="Times New Roman"/>
          <w:color w:val="000000"/>
          <w:sz w:val="24"/>
          <w:szCs w:val="24"/>
        </w:rPr>
        <w:t>также с инструкциями по применению вакцин, приведенными на листках-вкладышах в упаковках препаратов.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Медицинский работник обеспечивает одновременное введение всех вакцин, которые ребенок должен получить в соответствии со своим возрастом на момент каждого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посещения.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Практика показывает, что одновременное введение нескольких вакцин безопасна и эффективна. Кроме того, по многим существующим данным, одновременное введение нескольких вакцин может повысить уровень охвата иммунизацией примерно на 9-12 процентов.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случае, если медицинский работник предпочитает не вводить необходимую вакцину одновременно с другими (основываясь на том, что такое решение не нарушит плана вакцинации ребенка, или по просьбе родителей или опекунов) он должен документально обосноват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свои действия и причины, по которым вакцина не была введена. Этот содержащийся в компьютере документ должен содержать появляющееся в автоматическом режиме напоминание о необходимости следующего посещения для введения ребенку нужной вакцины (вакцин). Врем</w:t>
      </w:r>
      <w:r>
        <w:rPr>
          <w:rFonts w:ascii="Times New Roman" w:hAnsi="Times New Roman" w:cs="Times New Roman"/>
          <w:color w:val="000000"/>
          <w:sz w:val="24"/>
          <w:szCs w:val="24"/>
        </w:rPr>
        <w:t>я следующего посещения следует обсудить вместе с родителями или опекуном ребенка.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плановой иммунизации следует всегда применять комбинированную вакцину против кори-паротита-краснухи (тривакцину КПК).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Медицинские работники используют четки</w:t>
      </w:r>
      <w:r>
        <w:rPr>
          <w:rFonts w:ascii="Times New Roman" w:hAnsi="Times New Roman" w:cs="Times New Roman"/>
          <w:color w:val="000000"/>
          <w:sz w:val="24"/>
          <w:szCs w:val="24"/>
        </w:rPr>
        <w:t>е и полные процедуры ведения документации.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существующими правилами медицинские работники обязаны документировать, какая вакцина была введена, дату прививки (день, месяц, год), название фирмы-производителя вакцины, номер серии, подпись и до</w:t>
      </w:r>
      <w:r>
        <w:rPr>
          <w:rFonts w:ascii="Times New Roman" w:hAnsi="Times New Roman" w:cs="Times New Roman"/>
          <w:color w:val="000000"/>
          <w:sz w:val="24"/>
          <w:szCs w:val="24"/>
        </w:rPr>
        <w:t>лжность лица, сделавшего прививку, а также адрес учреждения, в котором была сделана прививка. Кроме того, в индивидуальной прививочной карте ребенка (желательно установленного образца) должна содержаться информация о том, какие вакцины вводились, когда был</w:t>
      </w:r>
      <w:r>
        <w:rPr>
          <w:rFonts w:ascii="Times New Roman" w:hAnsi="Times New Roman" w:cs="Times New Roman"/>
          <w:color w:val="000000"/>
          <w:sz w:val="24"/>
          <w:szCs w:val="24"/>
        </w:rPr>
        <w:t>а сделана прививка, а также имя сделавшего прививку медицинского работника. Медработники должны советовать родителям или опекунам иметь копию прививочной карты ребенка, в которую следует заносить новые данные при каждом следующем посещении по поводу вакцин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ации. Если родители не смогли принести прививочную карту ребенка, им следует выдать новую карту, содержащую сведения обо всех предыдущих прививках и обозначить ее как дубликат. При получении прививочной карты от родителей медработник должен убедиться,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предыдущие дозы вакцин были действительно введены (эту информацию можно получить из карты, либо связавшись с врачами, ранее обслуживавшими ребенка), и только после этого внести проверенную информацию в свои записи. Если ребенку делает прививку работник, 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торый не наблюдает его регулярно и обычно не занимается его вакцинацией, ему следует связаться с ведущим ребенка медработником.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Медицинские работники, пользующиеся ручной картотекой для хранения информации, должны вести отдельную картотеку записей о приви</w:t>
      </w:r>
      <w:r>
        <w:rPr>
          <w:rFonts w:ascii="Times New Roman" w:hAnsi="Times New Roman" w:cs="Times New Roman"/>
          <w:color w:val="000000"/>
          <w:sz w:val="24"/>
          <w:szCs w:val="24"/>
        </w:rPr>
        <w:t>вках дошкольников. Картотеку следует использовать как для проведения оценки уровня охвата иммунизацией, так и для выявления и вызова детей, пропустивших плановые прививки. Кроме того, картотеку следует регулярно сортировать, помещая неактивные карточки в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тдельную папку. Медицинские работники должны вести записи о том, предоставление каких первичных медицинских услуг совмещалось со временем посещения ребенком учреждения для получения прививок.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Медицинские работники совмещают посещения в целях вакцинации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оказанием других медицинских услуг ребенку.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Медицинские работники, занимающиеся исключительно иммунизацией, требующей назначения определенного времени для посещения, должны координировать свою работу с другими службами учреждения, обращения в которые пл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анируются пациентом (напр., в лабораторию на анализ крови, посещение стоматолога или педиатра для оценки общего развития). Желание совместить вакцинацию с получением пациентом других медицинских услуг не должно приводить к задержке вакцинации.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Медицинс</w:t>
      </w:r>
      <w:r>
        <w:rPr>
          <w:rFonts w:ascii="Times New Roman" w:hAnsi="Times New Roman" w:cs="Times New Roman"/>
          <w:color w:val="000000"/>
          <w:sz w:val="24"/>
          <w:szCs w:val="24"/>
        </w:rPr>
        <w:t>кие работники сообщают о побочных реакциях на прививки незамедлительно, точно и в полном объеме.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Медицинские работники должны убедить родителей ребенка или его официальных опекунов сообщать им о случаях побочных эффектов вакцин. Сами медицинские работники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должны сообщать обо всех подобных клинически значимых случаях, включая таковые, требуемые по закону, через Систему регистрации неблагоприятных побочных эффектов вакцин (VAERS), независимо от того, уверены они или нет в том, что реакция обусловлена введение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 вакцины. Формуляры сообщений и соответствующие консультации можно получить по телефону 1-800-822-7967. Медицинские работники должны подробно, в письменном виде описать побочную реакцию в медицинской карте пациента в момент поступления сообщения о ней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незамедлительно после этого.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 Медицинские работники используют систему регистрации, позволяющую осуществлять вызовы на прививки.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регистрации пациентов должна напоминать медицинским работникам о предстоящих прививках, а также выявлять пациентов,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просрочивших прививки. Такая система может быть автоматизированной или представлять собой ведущуюся вручную картотеку, и включать работу с почтовыми или телефонными сообщениями. В общественном секторе работники отдела здравоохранения могут также посещать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пациентов на дому. Все медицинские работники должны уделять особое внимание выявлению детей групп высокого риска, не завершивших серию прививок по календарю (включая детей, начавших получать прививки с опозданием).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 Медицинские работники соблюдают соотве</w:t>
      </w:r>
      <w:r>
        <w:rPr>
          <w:rFonts w:ascii="Times New Roman" w:hAnsi="Times New Roman" w:cs="Times New Roman"/>
          <w:color w:val="000000"/>
          <w:sz w:val="24"/>
          <w:szCs w:val="24"/>
        </w:rPr>
        <w:t>тствующие правила обращения с вакцинами.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Вакцины следует использовать и хранить в соответствие с рекомендациями, приведенными производителями на листках-вкладышах в упаковках препаратов. Температуру, при которой хранятся и перевозятся вакцины, необходимо п</w:t>
      </w:r>
      <w:r>
        <w:rPr>
          <w:rFonts w:ascii="Times New Roman" w:hAnsi="Times New Roman" w:cs="Times New Roman"/>
          <w:color w:val="000000"/>
          <w:sz w:val="24"/>
          <w:szCs w:val="24"/>
        </w:rPr>
        <w:t>роверять ежедневно; следует регулярно проверять обозначенные на этикетке сроки годности вакцины. Работники здравоохранения, применяющие вакцины, должны в установленном законодательством штата или местными органами управления здравоохранением порядке сообща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ть о количестве доз вакцин, которые были израсходованы, испорчены, утеряны или инвентаризованы.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 Медицинские работники проводят полугодовые оценки уровня охвата прививками и просматривают прививочные карты обслуживаемого населения.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 общественном, 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частном секторах здравоохранения оценка результатов иммунизации детей дошкольного возраста должна включать анализ прививочных карт или проверку медицинских карт методом случайной выборки для: 1) определения уровня охвата иммунизацией (т.е. процента полнос</w:t>
      </w:r>
      <w:r>
        <w:rPr>
          <w:rFonts w:ascii="Times New Roman" w:hAnsi="Times New Roman" w:cs="Times New Roman"/>
          <w:color w:val="000000"/>
          <w:sz w:val="24"/>
          <w:szCs w:val="24"/>
        </w:rPr>
        <w:t>тью привитых детей в возрасте до двух лет); 2) выявления упущенных случаев одновременного введения вакцин и; 3) оценки качества документации. Результаты проверок должны обсуждаться медицинскими работниками в рамках текущей работы по обеспечению качества 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нахождения путей решения выявленных проблем.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Во всех учреждениях, где проводится иммунизация, медицинские работники обновляют легко доступные протоколы.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Медицинские работники, занимающиеся вакцинопрофилактикой, обязаны иметь протоколы, в которых обсу</w:t>
      </w:r>
      <w:r>
        <w:rPr>
          <w:rFonts w:ascii="Times New Roman" w:hAnsi="Times New Roman" w:cs="Times New Roman"/>
          <w:color w:val="000000"/>
          <w:sz w:val="24"/>
          <w:szCs w:val="24"/>
        </w:rPr>
        <w:t>ждаются как минимум дозы соответствующей вакцины, противопоказания к вакцинации, рекомендованные места и пути введения вакцин, а также возможные побочные реакции и меры для их лечения. В таких протоколах должны содержаться сведения об оборудовании, необход</w:t>
      </w:r>
      <w:r>
        <w:rPr>
          <w:rFonts w:ascii="Times New Roman" w:hAnsi="Times New Roman" w:cs="Times New Roman"/>
          <w:color w:val="000000"/>
          <w:sz w:val="24"/>
          <w:szCs w:val="24"/>
        </w:rPr>
        <w:t>имом для оказания неотложной помощи, лекарствах (включая дозировки) и медицинских работниках, которые могут квалифицированно оказывать помощь пациенту в случае проявлений у него тяжелых побочных эффектов введенных вакцин. Все медицинские работники должны б</w:t>
      </w:r>
      <w:r>
        <w:rPr>
          <w:rFonts w:ascii="Times New Roman" w:hAnsi="Times New Roman" w:cs="Times New Roman"/>
          <w:color w:val="000000"/>
          <w:sz w:val="24"/>
          <w:szCs w:val="24"/>
        </w:rPr>
        <w:t>ыть ознакомлены с содержанием этих протоколов, знать, где они хранятся и как ими пользоваться. Прививки можно делать везде (например, в школах, церквях), где занимающиеся вакцинопрофилактикой лица могут прививать детей в соответствии с протоколами.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 Меди</w:t>
      </w:r>
      <w:r>
        <w:rPr>
          <w:rFonts w:ascii="Times New Roman" w:hAnsi="Times New Roman" w:cs="Times New Roman"/>
          <w:color w:val="000000"/>
          <w:sz w:val="24"/>
          <w:szCs w:val="24"/>
        </w:rPr>
        <w:t>цинские работники проводят работу, используя методы, ориентированные на пациента и базирующиеся в общине.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того чтобы более эффективно удовлетворять потребности населения в иммунизации и оказывать такие услуги на высоком качественном уровне медицинские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работники общественного сектора здравоохранения должны постоянно искать обратной связи со своими пациентами. Медицинские работники общественного сектора должны использовать подходы, основанные на максимальном учете интересов населения. Результатом должно с</w:t>
      </w:r>
      <w:r>
        <w:rPr>
          <w:rFonts w:ascii="Times New Roman" w:hAnsi="Times New Roman" w:cs="Times New Roman"/>
          <w:color w:val="000000"/>
          <w:sz w:val="24"/>
          <w:szCs w:val="24"/>
        </w:rPr>
        <w:t>тать достижение высокого уровня охвата иммунизацией всего населения, проживающего на данной территории. Такие подходы подразумевают способность и желание медицинских работников постоянно работать с людьми, убеждая их в готовности своих учреждений предостав</w:t>
      </w:r>
      <w:r>
        <w:rPr>
          <w:rFonts w:ascii="Times New Roman" w:hAnsi="Times New Roman" w:cs="Times New Roman"/>
          <w:color w:val="000000"/>
          <w:sz w:val="24"/>
          <w:szCs w:val="24"/>
        </w:rPr>
        <w:t>ить легкодоступные эффективные услуги по вакцинопрофилактике, тем самым повышая спрос населения на них. Медицинские работники частного сектора должны тесно сотрудничать с местными органами управления здравоохранением и совместными усилиями содействовать по</w:t>
      </w:r>
      <w:r>
        <w:rPr>
          <w:rFonts w:ascii="Times New Roman" w:hAnsi="Times New Roman" w:cs="Times New Roman"/>
          <w:color w:val="000000"/>
          <w:sz w:val="24"/>
          <w:szCs w:val="24"/>
        </w:rPr>
        <w:t>вышению уровня охвата населения иммунизацией. В противном случае общество останется уязвимым для предотвращаемых вакцинами инфекционных болезней. Все медицинские работники должны делить ответственность за обеспечение максимально возможного уровня защиты на</w:t>
      </w:r>
      <w:r>
        <w:rPr>
          <w:rFonts w:ascii="Times New Roman" w:hAnsi="Times New Roman" w:cs="Times New Roman"/>
          <w:color w:val="000000"/>
          <w:sz w:val="24"/>
          <w:szCs w:val="24"/>
        </w:rPr>
        <w:t>селения от инфекционных болезней.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 Вакцины вводятся адекватно обученными людьми.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Прививки могут делать только прошедшие специальное обучение люди. Тем не менее, проведение вакцинации не должно быть ограничено лишь врачами и медицинскими сестрами. При над</w:t>
      </w:r>
      <w:r>
        <w:rPr>
          <w:rFonts w:ascii="Times New Roman" w:hAnsi="Times New Roman" w:cs="Times New Roman"/>
          <w:color w:val="000000"/>
          <w:sz w:val="24"/>
          <w:szCs w:val="24"/>
        </w:rPr>
        <w:t>лежащей подготовке, включая обучение по вопросам оказания неотложной помощи в экстренных ситуациях, и под наблюдением профессиональных медиков, прививки могут квалифицированно и безопасно делать и другие люди. В ряде местностей установленные законом требов</w:t>
      </w:r>
      <w:r>
        <w:rPr>
          <w:rFonts w:ascii="Times New Roman" w:hAnsi="Times New Roman" w:cs="Times New Roman"/>
          <w:color w:val="000000"/>
          <w:sz w:val="24"/>
          <w:szCs w:val="24"/>
        </w:rPr>
        <w:t>ания позволяют заниматься вакцинопрофилактикой только имеющим лицензию врачам и/или медсестрам, что может создавать препятствия для массовой эффективной иммунизации населения. В таких случаях целесообразно предпринять меры к законодательному устранению так</w:t>
      </w:r>
      <w:r>
        <w:rPr>
          <w:rFonts w:ascii="Times New Roman" w:hAnsi="Times New Roman" w:cs="Times New Roman"/>
          <w:color w:val="000000"/>
          <w:sz w:val="24"/>
          <w:szCs w:val="24"/>
        </w:rPr>
        <w:t>их препятствий.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Медицинские работники постоянно совершенствуют знания и практические навыки в соответствии с текущими рекомендациями по иммунизации.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Круг лиц, имеющих отношение к вакцинопрофилактике, включает всех, кто участвует в проведении вакцинации,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управлении учреждениями вакцинопрофилактики или так или иначе обеспечивающих выполнение основных функций таких учреждений. В ходе теоретического и практического обучения работники должны знакомиться с рекомендациями Американского консультативного комитета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практике иммунизации, Американской академии педиатрии и Американской ассоциации семейных врачей, а также со Стандартами иммунизации в педиатрической практике и другими источниками информации по иммунизации, включая инструкции по применению вакцин, данн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фирмами-изготовителями. Всех принимающих участие в проведении программ иммунизации необходимо также знакомить с теми мероприятиями, которые направлены на обеспечение 90-процентного уровня охвата прививками детей в возрасте до двух лет к 2000 году. 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ивопоказания к иммунизации и предостережения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883"/>
        <w:gridCol w:w="101"/>
        <w:gridCol w:w="1783"/>
        <w:gridCol w:w="35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</w:t>
            </w: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Истинные противопоказания, предостережения</w:t>
            </w: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Ложные противопоказания (вакцины могут быть введены)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Анафилактическая реакция на вакцину служит противопоказанием к последующим дозам этой вакцины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 умеренная локальная реакция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для </w:t>
            </w: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Анафилактическая реакция на компонент вакцины является противопоказанием к вакцинам, содержащим этот компонент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(покраснение, болезненность, припухлость) после инъекции вакцины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</w:t>
            </w: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Заболевание средней тяж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или тяжелые с лихорадкой или без нее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Легкое острое заболевание с невысокой температурой или без 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[АКДС/АбКДС,</w:t>
            </w: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противомикробная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ППВ, ИПВ, </w:t>
            </w: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 на стадии выздоровления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КПК,</w:t>
            </w: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</w:t>
            </w: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Недоношенность (те же дозировки и показа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что и для родившихся в срок)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гепатита В,</w:t>
            </w: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 гемофильной инфекции типа b</w:t>
            </w: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Недавний контакт по инфекционному заболеванию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В]</w:t>
            </w: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или семейный анамнез по аллергии на пенициллин или другой неспецифической аллергии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энцефалопатии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7 дней после введения предыдущей дозы вакцины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менее 40.5С после введения предыдущей дозы АКДС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&gt; 40.5С в течение 48 часов после предыдущей дозы АКДС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Судороги в семейном анамнезе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АКДС/АбКДС</w:t>
            </w: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Предостережения*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оллапса или шока в течение 48 часов после предыдущей дозы АКДС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Синдром внезапной смерти детей в семейном анамнезе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судорог в течение 3 дней после предыдущей дозы АКДС (см сноску ** относительно детей с судорогами в личном анамнезе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иятные последствия введения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Непрерывный плач, длящийся более 3 часов, в течение 48 часов после предыдущей дозы АКДС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АКДС в семейном анамнезе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Инфицированность ВИЧ или домашний контакт с ВИЧ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Кормление грудью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ОПВ***</w:t>
            </w: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Определенные виды иммунодефицита (л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ейкозы и опухоли, врожденный иммунодефицит); длительная иммуносупрессивная терапия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противомикробная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контакт с больным иммунодефицитом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Диарея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Предостережение*</w:t>
            </w:r>
          </w:p>
        </w:tc>
        <w:tc>
          <w:tcPr>
            <w:tcW w:w="18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Беременность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ИПВ</w:t>
            </w: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Анафилактическая реакция на неомицин или стрепто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мицин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Предостережение*</w:t>
            </w:r>
          </w:p>
        </w:tc>
        <w:tc>
          <w:tcPr>
            <w:tcW w:w="18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Беременность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Анафилактическая реакция на белок куриного яйца и неомицин****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Туберкулез или положительная реакция Манту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Беременность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Одновременное проведкние туберкулиновой кожной пробы *****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Определенные виды иммунодефицита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(лейкозы и опухоли, врожденный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Кормление грудью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КПК***</w:t>
            </w: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иммунодефицит); длительная иммуносупрессивная терапия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Беременность матери прививаемого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Иммунодефицит у члена семьи или домашний контакт с ВИЧ инфицированным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Предостережение*</w:t>
            </w:r>
          </w:p>
        </w:tc>
        <w:tc>
          <w:tcPr>
            <w:tcW w:w="188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Недавнее (в предела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3 месяцев) 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Инфицированность 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иммуноглобулина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Неанафилактическая реакция на яичный белок или неомицин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 гриппа В</w:t>
            </w:r>
          </w:p>
        </w:tc>
        <w:tc>
          <w:tcPr>
            <w:tcW w:w="3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 гемофильной инфекции типа b</w:t>
            </w:r>
          </w:p>
        </w:tc>
        <w:tc>
          <w:tcPr>
            <w:tcW w:w="3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0C7BA9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Беременность</w:t>
            </w:r>
          </w:p>
        </w:tc>
      </w:tr>
    </w:tbl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Состояния и условия, названные предостережениями, хотя и не являю</w:t>
      </w:r>
      <w:r>
        <w:rPr>
          <w:rFonts w:ascii="Times New Roman" w:hAnsi="Times New Roman" w:cs="Times New Roman"/>
          <w:color w:val="000000"/>
          <w:sz w:val="24"/>
          <w:szCs w:val="24"/>
        </w:rPr>
        <w:t>тся противопоказаниями, требуют тщательного рассмотрения. Следует всегда сопоставлять пользу и риск при введении вакцины в каждом конкретном случае. Если есть уверенность, что риск превышает пользу, от вакцинации следует воздержаться; если же польза превос</w:t>
      </w:r>
      <w:r>
        <w:rPr>
          <w:rFonts w:ascii="Times New Roman" w:hAnsi="Times New Roman" w:cs="Times New Roman"/>
          <w:color w:val="000000"/>
          <w:sz w:val="24"/>
          <w:szCs w:val="24"/>
        </w:rPr>
        <w:t>ходит риск, прививку следует сделать (например, во время вспышек болезни или перед поездкой за границу). Решение о введении АКДС детям с выявленным неврологическим сопутствующим расстройством или подозрением на него принимается на индивидуальной основе. Из</w:t>
      </w:r>
      <w:r>
        <w:rPr>
          <w:rFonts w:ascii="Times New Roman" w:hAnsi="Times New Roman" w:cs="Times New Roman"/>
          <w:color w:val="000000"/>
          <w:sz w:val="24"/>
          <w:szCs w:val="24"/>
        </w:rPr>
        <w:t>-за теоретического риска целесообразно избегать вакцинации беременных женщин. Однако, если требуется срочная защита от полиомиелита, рекомендуется вводить ОПВ, а не ИПВ.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Детям, имеющим индивидуальный или семейный анамнез по судорогам рекомендуется дават</w:t>
      </w:r>
      <w:r>
        <w:rPr>
          <w:rFonts w:ascii="Times New Roman" w:hAnsi="Times New Roman" w:cs="Times New Roman"/>
          <w:color w:val="000000"/>
          <w:sz w:val="24"/>
          <w:szCs w:val="24"/>
        </w:rPr>
        <w:t>ь парацетамол перед введением АКДС, а также каждые 4 часа в течение 24 часов после вакцинации.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 Существует теоретическая вероятность того, что при не одновременном введении живых вирусных вакцин (ОПВ, КПК и вакцины против ветряной оспы) с интервалами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более 30 дней иммунный ответ может быть слабее, чем при одновременном введении этих вакцин. Практических данных, подтверждающих это предположение, нет.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 Детей, имеющих аллергию на яичный белок, можно прививать с соблюдением мер предосторожности. Обрат</w:t>
      </w:r>
      <w:r>
        <w:rPr>
          <w:rFonts w:ascii="Times New Roman" w:hAnsi="Times New Roman" w:cs="Times New Roman"/>
          <w:color w:val="000000"/>
          <w:sz w:val="24"/>
          <w:szCs w:val="24"/>
        </w:rPr>
        <w:t>итесь к принятым схемам вакцинации таких пациентов (J Pediatr 1983;102:196-9, and J Pediatr 1988;113:504-6).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***** Коревая вакцина может временно подавлять реактивность на туберкулин. Если пробу нельзя сделать в день прививки КПК, ее следует отложить на ср</w:t>
      </w:r>
      <w:r>
        <w:rPr>
          <w:rFonts w:ascii="Times New Roman" w:hAnsi="Times New Roman" w:cs="Times New Roman"/>
          <w:color w:val="000000"/>
          <w:sz w:val="24"/>
          <w:szCs w:val="24"/>
        </w:rPr>
        <w:t>ок от 4 до 6 недель.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 информация основана на рекомендациях Консультативного комитета по практике иммунизации (ККПИ) и Комитета по инфекционным болезням Американской академии педиатрии (ААП). Некоторые из этих рекомендаций отличаются от рекомендаций, сод</w:t>
      </w:r>
      <w:r>
        <w:rPr>
          <w:rFonts w:ascii="Times New Roman" w:hAnsi="Times New Roman" w:cs="Times New Roman"/>
          <w:color w:val="000000"/>
          <w:sz w:val="24"/>
          <w:szCs w:val="24"/>
        </w:rPr>
        <w:t>ержащихся в инструкциях производителей вакцин, вкладываемых в упаковки. За более подробной информацией следует обратиться к опубликованным рекомендациям ККПИ, ААП, Американской академии семейных врачей, и инструкциям производителей вакцин.</w:t>
      </w:r>
    </w:p>
    <w:p w:rsidR="00000000" w:rsidRDefault="000C7BA9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8"/>
          </w:rPr>
          <w:t>http://www.medlux.ru/</w:t>
        </w:r>
      </w:hyperlink>
    </w:p>
    <w:p w:rsidR="00000000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BA9" w:rsidRDefault="000C7BA9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C7B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2A"/>
    <w:rsid w:val="000B172A"/>
    <w:rsid w:val="000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ET" w:hAnsi="TimesET" w:cs="TimesET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ET" w:hAnsi="TimesET" w:cs="TimesET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ET" w:hAnsi="TimesET" w:cs="TimesET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ET" w:hAnsi="TimesET" w:cs="TimesET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lu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4552</Words>
  <Characters>25949</Characters>
  <Application>Microsoft Office Word</Application>
  <DocSecurity>0</DocSecurity>
  <Lines>216</Lines>
  <Paragraphs>60</Paragraphs>
  <ScaleCrop>false</ScaleCrop>
  <Company>PERSONAL COMPUTERS</Company>
  <LinksUpToDate>false</LinksUpToDate>
  <CharactersWithSpaces>30441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Стандарты иммунизации в педиатрической практике</dc:title>
  <dc:creator>Alex Bokov</dc:creator>
  <cp:lastModifiedBy>Igor</cp:lastModifiedBy>
  <cp:revision>2</cp:revision>
  <dcterms:created xsi:type="dcterms:W3CDTF">2024-07-17T07:51:00Z</dcterms:created>
  <dcterms:modified xsi:type="dcterms:W3CDTF">2024-07-17T07:51:00Z</dcterms:modified>
</cp:coreProperties>
</file>