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4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Свойства скелетной мышцы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Скелетные (поперечнополосатые) мышцы являются активной частью опорно-двигательного аппарата.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Волокна скелетных мышц обладают тремя важнейшими свойствами: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возбудимостью – спосо</w:t>
      </w:r>
      <w:r>
        <w:rPr>
          <w:color w:val="000000"/>
        </w:rPr>
        <w:t>бностью отвечать на раздражитель изменениями ионной проницаемости и мембранного потенциала;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«проводимостью» – способностью к проведению потенциала действия вдоль всего волокна;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сократимостью – способностью сокращаться или изменять напряжение при возб</w:t>
      </w:r>
      <w:r>
        <w:rPr>
          <w:color w:val="000000"/>
        </w:rPr>
        <w:t>уждении.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естественных условиях возбуждение и сокращение мышц вызываются нервными импульсами, поступающими к мышечным волокнам из нервных центров. Чтобы вызвать возбуждение в эксперименте, применяют электрическую стимуляцию.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Непосредственное раздражение с</w:t>
      </w:r>
      <w:r>
        <w:rPr>
          <w:color w:val="000000"/>
        </w:rPr>
        <w:t>амой мышцы называется прямым раздражением; раздражение двигательного нерва, ведущее к сокращению иннервированной этим нервом мышцы, – непрямым раздражением.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Раздражение мышцы или иннервирующего ее двигательного нерва одиночным стимулом вызывает одиночное с</w:t>
      </w:r>
      <w:r>
        <w:rPr>
          <w:color w:val="000000"/>
        </w:rPr>
        <w:t>окращение мышцы: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Выделяют две основные фазы этого сокращения: укорочение и расслабление.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Возникнув при раздражении двигательного нерва в области нервно-мышечного соединения или в участке, к которому приложены электроды для прямого раздражения мышцы, волна </w:t>
      </w:r>
      <w:r>
        <w:rPr>
          <w:color w:val="000000"/>
        </w:rPr>
        <w:t>сокращения распространяется вдоль всего мышечного волокна. Длительность сокращения в каждой точке волокна в десятки раз превышает продолжительность потенциала действия. Поэтому наступает момент, когда ПД, пройдя вдоль всего волокна, заканчивается (мембрана</w:t>
      </w:r>
      <w:r>
        <w:rPr>
          <w:color w:val="000000"/>
        </w:rPr>
        <w:t xml:space="preserve"> реполяризовалась), волна сокращения охватывает все волокно и оно еще продолжает быть укороченным. Это соответствует моменту максимального укорочения мышечного волокна.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Амплитуда одиночного сокращения изолированного мышечного волокна от силы раздражения не</w:t>
      </w:r>
      <w:r>
        <w:rPr>
          <w:color w:val="000000"/>
        </w:rPr>
        <w:t xml:space="preserve"> зависит, т.к. подчиняется закону «все или ничего». А сокращение целой мышцы, состоящей из множества волокон, при ее прямом раздражении находится в большей зависимости от силы раздражения.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пороговой силе тока в реакцию вовлекается лишь небольшое число </w:t>
      </w:r>
      <w:r>
        <w:rPr>
          <w:color w:val="000000"/>
        </w:rPr>
        <w:t>волокон, поэтому сокращение мышцы едва заметно. С увеличением силы раздражения число волокон, охваченных возбуждением, возрастает, сокращение усиливается до тех пор, пока все волокна не оказываются сокращенными («максимальное сокращение»). После этого усил</w:t>
      </w:r>
      <w:r>
        <w:rPr>
          <w:color w:val="000000"/>
        </w:rPr>
        <w:t>ение раздражающего стимула на амплитуду сокращения мышцы не влияет.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раздражительный</w:t>
      </w:r>
      <w:r>
        <w:rPr>
          <w:color w:val="000000"/>
        </w:rPr>
        <w:tab/>
      </w:r>
      <w:r>
        <w:rPr>
          <w:color w:val="000000"/>
        </w:rPr>
        <w:tab/>
        <w:t>ответ мышцы на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стимул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раздражение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скелетная мышца отвечает на раздражение градуально (в зависимости от раздражительного стимула).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Каждое двигательное </w:t>
      </w:r>
      <w:r>
        <w:rPr>
          <w:color w:val="000000"/>
        </w:rPr>
        <w:t>нервное волокно является отростком нервной клетки – мотонейрона, расположенного в переднем роге спинного мозга или в двигательном ядре черепного нерва. В мышце двигательное волокно ветвится, и каждый отросток иннервирует соответственное ему мышечное волокн</w:t>
      </w:r>
      <w:r>
        <w:rPr>
          <w:color w:val="000000"/>
        </w:rPr>
        <w:t>о.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Мотонейрон вместе с группой иннервируемых им мышечных волокон называется моторной единицей (двигательной единицей).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Когда по двигательному волокну к мышце приходит потенциал действия, мышечные волокна, входящие в одну двигательную единицу, возбуждаются </w:t>
      </w:r>
      <w:r>
        <w:rPr>
          <w:color w:val="000000"/>
        </w:rPr>
        <w:t xml:space="preserve">почти одновременно. Поскольку мотонейрон при естественном сокращении мышцы разряжается ритмически, электрическая активность двигательной единицы имеет в записи вид частокола (с частотой </w:t>
      </w:r>
      <w:r>
        <w:rPr>
          <w:color w:val="000000"/>
        </w:rPr>
        <w:t>≈</w:t>
      </w:r>
      <w:r>
        <w:rPr>
          <w:color w:val="000000"/>
        </w:rPr>
        <w:t xml:space="preserve"> 6 имп/с), она успевает совершить все фазы сокращения, т.е. укоротить</w:t>
      </w:r>
      <w:r>
        <w:rPr>
          <w:color w:val="000000"/>
        </w:rPr>
        <w:t>ся и расслабиться: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скелетных мышцах теплокровных животных и человека различают быстрые и медленные двигательные единицы, состоящие соответственно из быстрых и медленных мышечных волокон. От скорости сокращения мышечных волокон двигательной единицы зависи</w:t>
      </w:r>
      <w:r>
        <w:rPr>
          <w:color w:val="000000"/>
        </w:rPr>
        <w:t>т суммация, т.е. та частота возбуждения, при которой наступает гладкий тетанус. Сопоставление частоты разрядов двигательных единиц с частотой, при которой может образоваться гладкий тетанус, позволяет сделать вывод, что в естественных условиях гладкий тета</w:t>
      </w:r>
      <w:r>
        <w:rPr>
          <w:color w:val="000000"/>
        </w:rPr>
        <w:t>нус может наблюдаться только при очень высокой частоте. Обычным режимом естественного сокращения является зубчатый тетанус (или даже ряд последовательных одиночных сокращений двигательной единицы).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с частотой </w:t>
      </w:r>
      <w:r>
        <w:rPr>
          <w:color w:val="000000"/>
        </w:rPr>
        <w:t>≈</w:t>
      </w:r>
      <w:r>
        <w:rPr>
          <w:color w:val="000000"/>
        </w:rPr>
        <w:t xml:space="preserve"> 10-20 имп/с возникает зубчатый тетанус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 xml:space="preserve">с частотой </w:t>
      </w:r>
      <w:r>
        <w:rPr>
          <w:color w:val="000000"/>
        </w:rPr>
        <w:t>≈</w:t>
      </w:r>
      <w:r>
        <w:rPr>
          <w:color w:val="000000"/>
        </w:rPr>
        <w:t xml:space="preserve"> 40 имп/с возникает гладкий тетанус: мышца получает множество стимулов подряд и, не успевая расслабиться, постоянно находится в напряжении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Тетанус возникает только при суммации эффектов ритмических раздражений, которые действуют на мышечное вол</w:t>
      </w:r>
      <w:r>
        <w:rPr>
          <w:color w:val="000000"/>
        </w:rPr>
        <w:t>окно или на всю мышцу.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Чем быстрее сокращаются и расслабляются волокна мышцы, тем чаще должны быть раздражения, чтобы вызвать тетанус.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Утомлением называется временное понижение работоспособности клетки, органа или целого организма, наступающее в результате</w:t>
      </w:r>
      <w:r>
        <w:rPr>
          <w:color w:val="000000"/>
        </w:rPr>
        <w:t xml:space="preserve"> работы и исчезающее после отдыха.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долго раздражать изолированную мышцу ритмическими электрическими стимулами, к которой подвешен небольшой груз, то амплитуда ее сокращений постепенно убывает до нуля. Регистрируемую при этом запись сокращений называют</w:t>
      </w:r>
      <w:r>
        <w:rPr>
          <w:color w:val="000000"/>
        </w:rPr>
        <w:t xml:space="preserve"> кривой утомления.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Также при утомлении нарастает латентный период сокращения и удлиняется период расслабления мышцы. Эти процессы начинаются спустя некоторое время, в течение которого наблюдается увеличение амплитуды одиночных сокращений мышцы.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Утомление м</w:t>
      </w:r>
      <w:r>
        <w:rPr>
          <w:color w:val="000000"/>
        </w:rPr>
        <w:t>ышцы обусловлено двумя основными причинами: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во время сокращения в мышце накапливаются продукты обмена веществ, оказывающие угнетающее действие на работоспособность мышечных волокон. Часть этих продуктов, а также ионы калия диффундируют из волокон наружу</w:t>
      </w:r>
      <w:r>
        <w:rPr>
          <w:color w:val="000000"/>
        </w:rPr>
        <w:t xml:space="preserve"> в околоклеточное пространство и оказывает угнетающее влияние на способность возбудимой мембраны генерировать потенциалы действия.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в мышце постепенно истощаются энергетические запасы. При длительной работе изолированной мышцы происходит резкое уменьшени</w:t>
      </w:r>
      <w:r>
        <w:rPr>
          <w:color w:val="000000"/>
        </w:rPr>
        <w:t>е запасов гликогена, вследствие чего нарушаются процессы ресинтеза АТФ и креатинфосфата, необходимых для осуществления сокращения.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Также, в записи мышца утомляется не так быстро, как там изображено. Дело в том, что нерв с мышцей соединен синапсом, который </w:t>
      </w:r>
      <w:r>
        <w:rPr>
          <w:color w:val="000000"/>
        </w:rPr>
        <w:t>утомляется быстрее мышцы и постепенно перестает передавать стимулы мышце.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Синапс – структурное образование, обеспечивающее переход возбуждения с нервного волокна на иннервируемую им клетку (мышечную/нервную/железистую).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Синапсы состоят из пре- и постсинапт</w:t>
      </w:r>
      <w:r>
        <w:rPr>
          <w:color w:val="000000"/>
        </w:rPr>
        <w:t>ических мембран и синаптической щели.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Пресинаптическая мембрана покрывает нервное окончание.  В ней в «пузырьках» содержится медиатор. В нашем случае это – ацетилхолин. При достижении ПД области пресинаптического окончания, ацетилхолин выбрасывается в сина</w:t>
      </w:r>
      <w:r>
        <w:rPr>
          <w:color w:val="000000"/>
        </w:rPr>
        <w:t xml:space="preserve">птическую щель – пространство между пре- и постсинаптическими мембранами. Немалую роль в этом процессе играют ионы </w:t>
      </w:r>
      <w:r>
        <w:rPr>
          <w:color w:val="000000"/>
          <w:lang w:val="en-US"/>
        </w:rPr>
        <w:t>Ca</w:t>
      </w:r>
      <w:r>
        <w:rPr>
          <w:color w:val="000000"/>
        </w:rPr>
        <w:t xml:space="preserve">. Ацетилхолин начинает взаимодействовать с холинорецепторами постсинаптической мембраны, что приводит к изменению проводимости для ионов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К и развитию потенциала концевой пластинки (ПКП)</w:t>
      </w:r>
      <w:r>
        <w:rPr>
          <w:rStyle w:val="a7"/>
          <w:color w:val="000000"/>
          <w:vertAlign w:val="baseline"/>
        </w:rPr>
        <w:footnoteReference w:id="1"/>
      </w:r>
      <w:r>
        <w:rPr>
          <w:color w:val="000000"/>
        </w:rPr>
        <w:t>. ПКП могут суммироваться и, таким образом, создавать ПД, который приводит к сокращени</w:t>
      </w:r>
      <w:r>
        <w:rPr>
          <w:color w:val="000000"/>
        </w:rPr>
        <w:t xml:space="preserve">ю волокна.  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Методика.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Объект: лягушка травяная.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Оборудование: 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Препаровка: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Обездвиженную лягушку разрезаем пополам. Нижнюю часть туловища без предварительно снятой ватой кожи  и отрезанного хвостового отростка кладем в ванночку в раствор Рингера. Разрезае</w:t>
      </w:r>
      <w:r>
        <w:rPr>
          <w:color w:val="000000"/>
        </w:rPr>
        <w:t>м позвоночник вдоль пополам. Из приколотой к парафину конечности выделяем седалищный нерв и седалищную мышцу. Завязываем узлом лигатуру на ахиллесовом сухожилии.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Задачи: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Определить максимальную силу раздражения мышцы лягушки;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Определить частоту формировани</w:t>
      </w:r>
      <w:r>
        <w:rPr>
          <w:color w:val="000000"/>
        </w:rPr>
        <w:t>я зубчатого тетануса;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Зарегистрировать кривую раздражения при прямом и непрямом ее раздражении.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 обсуждение: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Раздражая седалищный нерв лягушки с частотой 1Гц и длительностью стимула 0.5 мс,  увеличивая силу стимула от 0.05 до 0.35 В, получим</w:t>
      </w:r>
      <w:r>
        <w:rPr>
          <w:color w:val="000000"/>
        </w:rPr>
        <w:t xml:space="preserve"> следующий график: 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того как сила раздражения достигает 0.25В, прекращается увеличение силы сокращения мышцы. Следовательно, максимальная сила раздражения равна 0.25В.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Увеличивая частоту стимуляции начиная с 1Гц при силе стимула 0,35В и длительнос</w:t>
      </w:r>
      <w:r>
        <w:rPr>
          <w:color w:val="000000"/>
        </w:rPr>
        <w:t>ти – 0.5мс, найдем частоту формирования зубчатого тетануса. Как видно на рисунке, она составляет 20Гц. Зубчатый тетанус обусловлен тем, что при такой высокой частоте стимуляции мышца не успевает расслабиться.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Для регистрации кривой раздражения, установи</w:t>
      </w:r>
      <w:r>
        <w:rPr>
          <w:color w:val="000000"/>
        </w:rPr>
        <w:t xml:space="preserve">м частоту стимуляции равной 4Гц, а силу – 0.5В. 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Выводы: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Максимальная сила раздражения седалищной мышцы лягушки составила 0.25В;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Зубчатый тетанус формируется при частоте 20Гц;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Кривая утомления зарегистрирована. </w:t>
      </w:r>
    </w:p>
    <w:p w:rsidR="00000000" w:rsidRDefault="009234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Nа/K-ATФаза – свойства и б</w:t>
      </w:r>
      <w:r>
        <w:rPr>
          <w:color w:val="000000"/>
        </w:rPr>
        <w:t>иологическая роль (БОЛДЫРЕВ А. А. , 1998),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Физиология человека (под ред. Г. И. КОСИЦКОГО, М., 1985)</w:t>
      </w:r>
    </w:p>
    <w:p w:rsidR="00000000" w:rsidRDefault="009234ED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9234ED" w:rsidRDefault="009234ED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sectPr w:rsidR="009234E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ED" w:rsidRDefault="009234ED">
      <w:r>
        <w:separator/>
      </w:r>
    </w:p>
  </w:endnote>
  <w:endnote w:type="continuationSeparator" w:id="0">
    <w:p w:rsidR="009234ED" w:rsidRDefault="0092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ED" w:rsidRDefault="009234ED">
      <w:r>
        <w:separator/>
      </w:r>
    </w:p>
  </w:footnote>
  <w:footnote w:type="continuationSeparator" w:id="0">
    <w:p w:rsidR="009234ED" w:rsidRDefault="009234ED">
      <w:r>
        <w:continuationSeparator/>
      </w:r>
    </w:p>
  </w:footnote>
  <w:footnote w:id="1">
    <w:p w:rsidR="00000000" w:rsidRDefault="009234ED">
      <w:pPr>
        <w:pStyle w:val="a5"/>
      </w:pPr>
      <w:r>
        <w:rPr>
          <w:rStyle w:val="a7"/>
        </w:rPr>
        <w:footnoteRef/>
      </w:r>
      <w:r>
        <w:t xml:space="preserve"> Концевая пластинка – область мышечного волокна, в которой</w:t>
      </w:r>
      <w:r>
        <w:tab/>
        <w:t xml:space="preserve"> расположены синапсы, образованные аксонами мотонейронов.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386F"/>
    <w:multiLevelType w:val="hybridMultilevel"/>
    <w:tmpl w:val="6068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C2"/>
    <w:rsid w:val="002037C2"/>
    <w:rsid w:val="009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2AAB73-7633-4E55-8218-7CD460B3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0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Pr>
      <w:vertAlign w:val="superscript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7129</Characters>
  <Application>Microsoft Office Word</Application>
  <DocSecurity>0</DocSecurity>
  <Lines>59</Lines>
  <Paragraphs>16</Paragraphs>
  <ScaleCrop>false</ScaleCrop>
  <Company>Домком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«Свойства скелетной мышцы»</dc:title>
  <dc:subject/>
  <dc:creator>ars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