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87" w:rsidRPr="00287A66" w:rsidRDefault="00BF1808" w:rsidP="00CD16B4">
      <w:pPr>
        <w:pStyle w:val="Normal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Министерство образования Российской Федерации</w:t>
      </w:r>
    </w:p>
    <w:p w:rsidR="00683387" w:rsidRPr="00287A66" w:rsidRDefault="00BF1808" w:rsidP="00CD16B4">
      <w:pPr>
        <w:pStyle w:val="Normal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Пензе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нский Государственный Университет</w:t>
      </w:r>
    </w:p>
    <w:p w:rsidR="00683387" w:rsidRPr="00287A66" w:rsidRDefault="00BF1808" w:rsidP="00CD16B4">
      <w:pPr>
        <w:pStyle w:val="Normal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Медицинский Институт</w:t>
      </w:r>
    </w:p>
    <w:p w:rsidR="00683387" w:rsidRPr="00287A66" w:rsidRDefault="00BF1808" w:rsidP="00CD16B4">
      <w:pPr>
        <w:pStyle w:val="Normal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3387" w:rsidRPr="00287A66" w:rsidRDefault="00BF1808" w:rsidP="00CD16B4">
      <w:pPr>
        <w:pStyle w:val="Normal0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Кафедра Хирургии</w:t>
      </w:r>
    </w:p>
    <w:p w:rsidR="00683387" w:rsidRPr="00287A66" w:rsidRDefault="00BF1808" w:rsidP="00CD16B4">
      <w:pPr>
        <w:pStyle w:val="Normal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3387" w:rsidRPr="00287A66" w:rsidRDefault="00BF1808" w:rsidP="00CD16B4">
      <w:pPr>
        <w:pStyle w:val="Normal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16B4" w:rsidRPr="00287A66" w:rsidRDefault="00BF1808" w:rsidP="00CD16B4">
      <w:pPr>
        <w:pStyle w:val="Normal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16B4" w:rsidRPr="00287A66" w:rsidRDefault="00BF1808" w:rsidP="00CD16B4">
      <w:pPr>
        <w:pStyle w:val="Normal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3387" w:rsidRPr="00287A66" w:rsidRDefault="00BF1808" w:rsidP="00E104A6">
      <w:pPr>
        <w:pStyle w:val="Normal0"/>
        <w:spacing w:line="360" w:lineRule="auto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Зав. кафедрой д.м.н.,</w:t>
      </w:r>
    </w:p>
    <w:p w:rsidR="00683387" w:rsidRPr="00287A66" w:rsidRDefault="00BF1808" w:rsidP="00CD16B4">
      <w:pPr>
        <w:pStyle w:val="Normal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3387" w:rsidRPr="00287A66" w:rsidRDefault="00BF1808" w:rsidP="00CD16B4">
      <w:pPr>
        <w:pStyle w:val="Normal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3387" w:rsidRPr="00287A66" w:rsidRDefault="00BF1808" w:rsidP="00CD16B4">
      <w:pPr>
        <w:pStyle w:val="Normal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3387" w:rsidRPr="00287A66" w:rsidRDefault="00BF1808" w:rsidP="00CD16B4">
      <w:pPr>
        <w:pStyle w:val="Normal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Реферат</w:t>
      </w:r>
    </w:p>
    <w:p w:rsidR="00683387" w:rsidRPr="00287A66" w:rsidRDefault="00BF1808" w:rsidP="00CD16B4">
      <w:pPr>
        <w:pStyle w:val="Normal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на тему:</w:t>
      </w:r>
    </w:p>
    <w:p w:rsidR="00683387" w:rsidRPr="00287A66" w:rsidRDefault="00BF1808" w:rsidP="00CD16B4">
      <w:pPr>
        <w:pStyle w:val="2"/>
        <w:spacing w:line="360" w:lineRule="auto"/>
        <w:ind w:left="0" w:firstLine="709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bookmarkStart w:id="0" w:name="_GoBack"/>
      <w:r w:rsidRPr="00287A6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Техника инфузии и осложнения в детской хирургии</w:t>
      </w:r>
      <w:bookmarkEnd w:id="0"/>
      <w:r w:rsidRPr="00287A6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</w:p>
    <w:p w:rsidR="00683387" w:rsidRPr="00287A66" w:rsidRDefault="00BF1808" w:rsidP="00CD16B4">
      <w:pPr>
        <w:pStyle w:val="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6B4" w:rsidRPr="00287A66" w:rsidRDefault="00BF1808" w:rsidP="00CD16B4">
      <w:pPr>
        <w:pStyle w:val="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6B4" w:rsidRPr="00287A66" w:rsidRDefault="00BF1808" w:rsidP="00CD16B4">
      <w:pPr>
        <w:pStyle w:val="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6B4" w:rsidRPr="00287A66" w:rsidRDefault="00BF1808" w:rsidP="00CD16B4">
      <w:pPr>
        <w:pStyle w:val="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Выполнила: студентка V курса </w:t>
      </w:r>
    </w:p>
    <w:p w:rsidR="00683387" w:rsidRPr="00287A66" w:rsidRDefault="00BF1808" w:rsidP="00CD16B4">
      <w:pPr>
        <w:pStyle w:val="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Проверил: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к.м.н., доцент</w:t>
      </w:r>
    </w:p>
    <w:p w:rsidR="00683387" w:rsidRPr="00287A66" w:rsidRDefault="00BF1808" w:rsidP="00CD16B4">
      <w:pPr>
        <w:pStyle w:val="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3387" w:rsidRPr="00287A66" w:rsidRDefault="00BF1808" w:rsidP="00CD16B4">
      <w:pPr>
        <w:pStyle w:val="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3387" w:rsidRPr="00287A66" w:rsidRDefault="00BF1808" w:rsidP="00CD16B4">
      <w:pPr>
        <w:pStyle w:val="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0009" w:rsidRPr="00287A66" w:rsidRDefault="00BF1808" w:rsidP="00CD16B4">
      <w:pPr>
        <w:pStyle w:val="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6B4" w:rsidRPr="00287A66" w:rsidRDefault="00BF1808" w:rsidP="00CD16B4">
      <w:pPr>
        <w:pStyle w:val="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3387" w:rsidRPr="00287A66" w:rsidRDefault="00BF1808" w:rsidP="00CD16B4">
      <w:pPr>
        <w:pStyle w:val="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3387" w:rsidRPr="00287A66" w:rsidRDefault="00BF1808" w:rsidP="00CD16B4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Пенза</w:t>
      </w:r>
    </w:p>
    <w:p w:rsidR="00683387" w:rsidRPr="00287A66" w:rsidRDefault="00BF1808" w:rsidP="00CD16B4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2009</w:t>
      </w:r>
    </w:p>
    <w:p w:rsidR="00683387" w:rsidRPr="00287A66" w:rsidRDefault="00BF1808" w:rsidP="00CD16B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</w:t>
      </w:r>
    </w:p>
    <w:p w:rsidR="00CD16B4" w:rsidRPr="00287A66" w:rsidRDefault="00BF1808" w:rsidP="00CD16B4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683387" w:rsidRPr="00287A66" w:rsidRDefault="00BF1808" w:rsidP="00CD16B4">
      <w:pPr>
        <w:pStyle w:val="Normal0"/>
        <w:widowControl/>
        <w:numPr>
          <w:ilvl w:val="0"/>
          <w:numId w:val="1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Осложнения при парентеральном питании, обусловленные нарушением метаболизма</w:t>
      </w:r>
    </w:p>
    <w:p w:rsidR="00683387" w:rsidRPr="00287A66" w:rsidRDefault="00BF1808" w:rsidP="00CD16B4">
      <w:pPr>
        <w:pStyle w:val="Normal0"/>
        <w:widowControl/>
        <w:numPr>
          <w:ilvl w:val="0"/>
          <w:numId w:val="1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Инфузионная техника</w:t>
      </w:r>
    </w:p>
    <w:p w:rsidR="00BD65BD" w:rsidRPr="00287A66" w:rsidRDefault="00BF1808" w:rsidP="00CD16B4">
      <w:pPr>
        <w:pStyle w:val="Normal0"/>
        <w:widowControl/>
        <w:numPr>
          <w:ilvl w:val="0"/>
          <w:numId w:val="2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Чрезкожная венепункция</w:t>
      </w:r>
    </w:p>
    <w:p w:rsidR="00BD65BD" w:rsidRPr="00287A66" w:rsidRDefault="00BF1808" w:rsidP="00CD16B4">
      <w:pPr>
        <w:pStyle w:val="Normal0"/>
        <w:widowControl/>
        <w:numPr>
          <w:ilvl w:val="0"/>
          <w:numId w:val="2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Венесекция</w:t>
      </w:r>
    </w:p>
    <w:p w:rsidR="00BD65BD" w:rsidRPr="00287A66" w:rsidRDefault="00BF1808" w:rsidP="00CD16B4">
      <w:pPr>
        <w:pStyle w:val="Normal0"/>
        <w:widowControl/>
        <w:numPr>
          <w:ilvl w:val="0"/>
          <w:numId w:val="2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Пупочная вена</w:t>
      </w:r>
    </w:p>
    <w:p w:rsidR="00BD65BD" w:rsidRPr="00287A66" w:rsidRDefault="00BF1808" w:rsidP="00CD16B4">
      <w:pPr>
        <w:pStyle w:val="Normal0"/>
        <w:widowControl/>
        <w:numPr>
          <w:ilvl w:val="0"/>
          <w:numId w:val="2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Катетаризация полой вены</w:t>
      </w:r>
    </w:p>
    <w:p w:rsidR="00BD65BD" w:rsidRPr="00287A66" w:rsidRDefault="00BF1808" w:rsidP="00CD16B4">
      <w:pPr>
        <w:pStyle w:val="Normal0"/>
        <w:widowControl/>
        <w:numPr>
          <w:ilvl w:val="0"/>
          <w:numId w:val="2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Система для капельного введения</w:t>
      </w:r>
    </w:p>
    <w:p w:rsidR="00683387" w:rsidRPr="00287A66" w:rsidRDefault="00BF1808" w:rsidP="00CD16B4">
      <w:pPr>
        <w:pStyle w:val="Normal0"/>
        <w:widowControl/>
        <w:numPr>
          <w:ilvl w:val="0"/>
          <w:numId w:val="1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Специальные проблемы</w:t>
      </w:r>
    </w:p>
    <w:p w:rsidR="00BD65BD" w:rsidRPr="00287A66" w:rsidRDefault="00BF1808" w:rsidP="00CD16B4">
      <w:pPr>
        <w:pStyle w:val="Normal0"/>
        <w:widowControl/>
        <w:numPr>
          <w:ilvl w:val="0"/>
          <w:numId w:val="3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Размозжение и ожоги</w:t>
      </w:r>
    </w:p>
    <w:p w:rsidR="00BD65BD" w:rsidRPr="00287A66" w:rsidRDefault="00BF1808" w:rsidP="00CD16B4">
      <w:pPr>
        <w:pStyle w:val="Normal0"/>
        <w:widowControl/>
        <w:numPr>
          <w:ilvl w:val="0"/>
          <w:numId w:val="3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Острая почечна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я недостаточность</w:t>
      </w:r>
    </w:p>
    <w:p w:rsidR="00BD65BD" w:rsidRPr="00287A66" w:rsidRDefault="00BF1808" w:rsidP="00CD16B4">
      <w:pPr>
        <w:pStyle w:val="Normal0"/>
        <w:widowControl/>
        <w:numPr>
          <w:ilvl w:val="0"/>
          <w:numId w:val="3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Геморрагический шок</w:t>
      </w:r>
    </w:p>
    <w:p w:rsidR="00BD65BD" w:rsidRPr="00287A66" w:rsidRDefault="00BF1808" w:rsidP="00CD16B4">
      <w:pPr>
        <w:pStyle w:val="Normal0"/>
        <w:widowControl/>
        <w:numPr>
          <w:ilvl w:val="0"/>
          <w:numId w:val="3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Гипертрофический стеноз привратника</w:t>
      </w:r>
    </w:p>
    <w:p w:rsidR="00BD65BD" w:rsidRPr="00287A66" w:rsidRDefault="00BF1808" w:rsidP="00CD16B4">
      <w:pPr>
        <w:pStyle w:val="Normal0"/>
        <w:widowControl/>
        <w:numPr>
          <w:ilvl w:val="0"/>
          <w:numId w:val="3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Перитонит</w:t>
      </w:r>
    </w:p>
    <w:p w:rsidR="00BD65BD" w:rsidRPr="00287A66" w:rsidRDefault="00BF1808" w:rsidP="00CD16B4">
      <w:pPr>
        <w:pStyle w:val="Normal0"/>
        <w:widowControl/>
        <w:numPr>
          <w:ilvl w:val="0"/>
          <w:numId w:val="3"/>
        </w:numPr>
        <w:tabs>
          <w:tab w:val="num" w:pos="50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Септический шок</w:t>
      </w:r>
    </w:p>
    <w:p w:rsidR="00683387" w:rsidRPr="00287A66" w:rsidRDefault="00BF1808" w:rsidP="00CD16B4">
      <w:pPr>
        <w:pStyle w:val="Normal0"/>
        <w:widowControl/>
        <w:tabs>
          <w:tab w:val="num" w:pos="50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BD65BD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6B4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</w:t>
      </w: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Осложнения при парентеральном питании, обусловлен</w:t>
      </w: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ные 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нарушениями метаболизма</w:t>
      </w:r>
    </w:p>
    <w:p w:rsidR="00CD16B4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Описан ряд осложнений, обусловленный нарушениями метаболизма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при парентеральном питании. Их можно предупредить путем тщательного контроля за параметрами обмена веществ.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Гипергликемия ведет к осмотическому диурезу со вторичными изменениями водного и электролитного баланса. Возможны тяжелые расст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ройства ЦНС в связи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с гиперосмо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ляльностью. Развивается преимущественно при нарушении толерантности к глюкозе в послеоперационном периоде и при чрезмерном введении углеводов (углеводно-аминокислотный режим без жировых эмульсий).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Гипогликемия: недостаточное введение углеводов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, внезапное прерывание парентерального питания.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Гипофосфатемия: недостаточное введение фосфата.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Азотемия: введение слишком большого количества аминокислот (4 г/кг массы тела) недоношенным новорожденным.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Гипера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ммониемия: дефицит аргинина.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Гипо- и ги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первитаминозы: большей частью бывает дефицит витаминов; передозировка возможна при введении жирорастворимых витаминов.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Дефицит микроэлементов.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Дефицит эссенциальных жирных кислот: при парентеральном питании без введения жиров.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Нарушения функции печен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и с гипербилирубинемией и гепатомегалией; комплекс причин.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Гиперхлоремический ацидоз: среди прочих причин введение аминокислотных инфузионных растворов с высоким содержанием хлоридов.</w:t>
      </w:r>
    </w:p>
    <w:p w:rsidR="00CD16B4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Инфузионная техника</w:t>
      </w:r>
    </w:p>
    <w:p w:rsidR="00CD16B4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Парентеральное введение веществ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осуществляется только внутривенно. Подкожный способ устарел и не применяется. Используются следующие методы:</w:t>
      </w:r>
    </w:p>
    <w:p w:rsidR="00852C5F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Чрескожная венепункция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Производится иглами для внутривенных инъекций фирмы «Лихтенберг». В зависимости от опыта медицинского работника и успешност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и манипуляции пункцию вен у младенцев осуществляют в последовательности: голова — тыл кисти — область лучезапястного сустава — стопа — шея. У детей более старшего воз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раста последовательность: локте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вой сгиб — тыл кисти — предплечье — внутренняя лодыжка— тыл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стопы — голова — шея.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Важно соблюдение стерильности и прочная фиксация иглы в вене. Как правило, спустя 1—2 дня пункцию приходится повторять (из-за тромбирования иглы, флебита).</w:t>
      </w:r>
    </w:p>
    <w:p w:rsidR="00852C5F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Венесекция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После выделения вены в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нее вводят поливиниловый или по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лиэтиленовый катетер на 2—3 см по направлению к сердцу и закрепляют его. Выбор места проводят в последовательности: локтевой сгиб —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saphena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magna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(дистально за внутренней лодыжкой) —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cephalica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(за дистальным отделом лучевой кости) — наружная яремная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вена —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saphena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magna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(паховый сгиб). Последнюю лучше не трогать из-за значительной опасности инфицирования. Само собой разумеется, необходимо строго соблюдать асептику и антисептику, а также прочно фиксировать иглу.</w:t>
      </w:r>
    </w:p>
    <w:p w:rsidR="00852C5F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Пупочная вена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Ее можно зондировать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почти до 3-го дня жизни.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Пупочный катетер по возможности не применяют или быстро его удаляют, не оставляя «профилактически» на ряд дней из-за опасности тромбоза воротной вены (крайний предел 12 ч). Избегают введения гипертонических растворов.</w:t>
      </w:r>
    </w:p>
    <w:p w:rsidR="00852C5F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Катетеризаци</w:t>
      </w: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 полой вены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Пункция подключичной вены осуществляется в над- и подключичной области в принципе по той же методике, как и у взрослых. Ее можно выполнять у младенцев и новорожденных. Если под руками нет соответствющего деменсионного набора инструментов, то м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ожно попытаться ввести тонкий катетер через канюлю, что иногда удается при применении перлонового шнура (лески) по принципу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Seldinger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-техники. В каждом случае положение катетера нужно контролировать рентгенологически. Конец катетера должен находиться свобо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дно в верхней полой вене, не доходя до правого желудочка самое малое на 1—2 см. Из-за повышенной опасности инфекции у маленьких детей катетеризация нижней полой вены не применяется.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Wilmore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 применять у новорожденных и младенцев изящный метод вв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едения катетера через н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аружную яремную вену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. Вену освобождают путем вспомогательного разреза, катетер проводят до верхней полой вены, укрепляют и выводят через второй разрез в височно-затылочной области. Через длинный подкожный канал система инфицируется н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е так быстро, поскольку в оригинальной методике применяется переходный бактериальный фильтр.</w:t>
      </w:r>
    </w:p>
    <w:p w:rsidR="00852C5F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для капельного введения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При маленьких объемах жидкостей, которые должны быть распределены в течение суток, всегда имеется опасность слишком быстрого введе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ния жидкости.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правило: для того чтобы ввести за 24 ч а литров инфузионного раствора, необходимо в минуту вводить а Х14 обычных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капель (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Stadler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Helbig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Скорость введения может быть отрегулирована с точностью до 4 капель в минуту (приблизительно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300 мл/24 ч). Можно довольствоваться тем, что через каждые 30—60 мин по достижении вычисленного объема инфузионного раствора периодически пережимать катетер, чтобы предотвратить обратный ток крови. Еще лучше в инфузионной системе использовать для переключе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ния градуированн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ые бюреты на 20—30 мл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. Правда, в этом случае увеличивается опасность инфицирования. Лучше всего для этого подходят инфузионные аппараты для длительных инфузий, позволяющие точно отрегулировать дозировку.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К осложнениям, связанным с нарушение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м обмена веществ, описанным выше, присовокупляются осложнения, связанные с катетеризацией, которые могут представлять угрозу для жизни. Важнейшими из них являются инфицирование и тромбирование вен.</w:t>
      </w:r>
    </w:p>
    <w:p w:rsidR="00CD16B4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Специальные проблемы</w:t>
      </w:r>
    </w:p>
    <w:p w:rsidR="00CD16B4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Разм</w:t>
      </w: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озжение и ожоги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Их лечение у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детей отличается от лечения у взрослых главным образом двумя особенностями: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Обусловленные возрастом пропорции тела дают различные ориентировочные цифры для оценки поверхности повреждения. В правило «девятки», применяемое для взрослых, должна быть внесена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соответствующая поправка (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Wallace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16B4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Повышенная опасность шока у младенцев и маленьких детей наблюдается в первые 2 дня. Младенцев целесообразно госпитализировать даже при 5% обожженной или размозженной поверхности тела, а детей школьного возраста — при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повреждениях 10% поверхности. При ожогах и повреждениях более 10% всегда показана внутривенная противошоковая терапия (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Meissner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распространенных повреждениях (более 50% поверхности тела) инфузионный режим должен строго индивидуализироваться, чтобы пр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едупредить развитие гипергидратации (отек легких! Отек мозга!). Необходимо строго контролировать выведение мочи (постоянный катетер). Оно должно достигать 80% среднечасового выведения (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Meissner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). При введении декстрана та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кого диуреза достичь не удается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235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страя почечная недостаточность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За нормальное количество мочи у младенцев и детей при концентрации ее до 300 мосммоль/л принимается 750 мл/м2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поверхности тела за 24 ч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. Об олигоанурии говорят тогда, когда миним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ального количества мочи, необхо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димого для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выведения азотистых шлаков, не образуется. В табл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. 1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приведены ориентировочные цифры для различных возрастов.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Таблица 1. Величина диуреза у детей в норме</w:t>
      </w:r>
    </w:p>
    <w:tbl>
      <w:tblPr>
        <w:tblW w:w="0" w:type="auto"/>
        <w:tblInd w:w="2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3"/>
        <w:gridCol w:w="2737"/>
        <w:gridCol w:w="2800"/>
      </w:tblGrid>
      <w:tr w:rsidR="001E596B">
        <w:trPr>
          <w:trHeight w:val="619"/>
        </w:trPr>
        <w:tc>
          <w:tcPr>
            <w:tcW w:w="2563" w:type="dxa"/>
            <w:shd w:val="clear" w:color="auto" w:fill="FFFFFF"/>
            <w:vAlign w:val="center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Возраст </w:t>
            </w:r>
          </w:p>
        </w:tc>
        <w:tc>
          <w:tcPr>
            <w:tcW w:w="2737" w:type="dxa"/>
            <w:shd w:val="clear" w:color="auto" w:fill="FFFFFF"/>
            <w:vAlign w:val="center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мл/24 ч</w:t>
            </w:r>
          </w:p>
        </w:tc>
        <w:tc>
          <w:tcPr>
            <w:tcW w:w="2800" w:type="dxa"/>
            <w:shd w:val="clear" w:color="auto" w:fill="FFFFFF"/>
            <w:vAlign w:val="center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мл/ч</w:t>
            </w:r>
          </w:p>
        </w:tc>
      </w:tr>
      <w:tr w:rsidR="001E596B">
        <w:trPr>
          <w:trHeight w:val="331"/>
        </w:trPr>
        <w:tc>
          <w:tcPr>
            <w:tcW w:w="2563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1—2 дня </w:t>
            </w:r>
          </w:p>
        </w:tc>
        <w:tc>
          <w:tcPr>
            <w:tcW w:w="2737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30—60</w:t>
            </w:r>
          </w:p>
        </w:tc>
        <w:tc>
          <w:tcPr>
            <w:tcW w:w="2800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E596B">
        <w:trPr>
          <w:trHeight w:val="173"/>
        </w:trPr>
        <w:tc>
          <w:tcPr>
            <w:tcW w:w="2563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3—10 дней </w:t>
            </w:r>
          </w:p>
        </w:tc>
        <w:tc>
          <w:tcPr>
            <w:tcW w:w="2737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100—300</w:t>
            </w:r>
          </w:p>
        </w:tc>
        <w:tc>
          <w:tcPr>
            <w:tcW w:w="2800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E596B">
        <w:trPr>
          <w:trHeight w:val="187"/>
        </w:trPr>
        <w:tc>
          <w:tcPr>
            <w:tcW w:w="2563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10 дней 2 мес </w:t>
            </w:r>
          </w:p>
        </w:tc>
        <w:tc>
          <w:tcPr>
            <w:tcW w:w="2737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250—450</w:t>
            </w:r>
          </w:p>
        </w:tc>
        <w:tc>
          <w:tcPr>
            <w:tcW w:w="2800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1E596B">
        <w:trPr>
          <w:trHeight w:val="180"/>
        </w:trPr>
        <w:tc>
          <w:tcPr>
            <w:tcW w:w="2563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2 мес — 1 год </w:t>
            </w:r>
          </w:p>
        </w:tc>
        <w:tc>
          <w:tcPr>
            <w:tcW w:w="2737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400—500</w:t>
            </w:r>
          </w:p>
        </w:tc>
        <w:tc>
          <w:tcPr>
            <w:tcW w:w="2800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1E596B">
        <w:trPr>
          <w:trHeight w:val="144"/>
        </w:trPr>
        <w:tc>
          <w:tcPr>
            <w:tcW w:w="2563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1 — 3 года </w:t>
            </w:r>
          </w:p>
        </w:tc>
        <w:tc>
          <w:tcPr>
            <w:tcW w:w="2737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500—600</w:t>
            </w:r>
          </w:p>
        </w:tc>
        <w:tc>
          <w:tcPr>
            <w:tcW w:w="2800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1E596B">
        <w:trPr>
          <w:trHeight w:val="180"/>
        </w:trPr>
        <w:tc>
          <w:tcPr>
            <w:tcW w:w="2563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3—5 лет </w:t>
            </w:r>
          </w:p>
        </w:tc>
        <w:tc>
          <w:tcPr>
            <w:tcW w:w="2737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600—700</w:t>
            </w:r>
          </w:p>
        </w:tc>
        <w:tc>
          <w:tcPr>
            <w:tcW w:w="2800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1E596B">
        <w:trPr>
          <w:trHeight w:val="184"/>
        </w:trPr>
        <w:tc>
          <w:tcPr>
            <w:tcW w:w="2563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5—8 »</w:t>
            </w:r>
          </w:p>
        </w:tc>
        <w:tc>
          <w:tcPr>
            <w:tcW w:w="2737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650—1000</w:t>
            </w:r>
          </w:p>
        </w:tc>
        <w:tc>
          <w:tcPr>
            <w:tcW w:w="2800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1E596B">
        <w:trPr>
          <w:trHeight w:val="202"/>
        </w:trPr>
        <w:tc>
          <w:tcPr>
            <w:tcW w:w="2563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В— 14 »</w:t>
            </w:r>
          </w:p>
        </w:tc>
        <w:tc>
          <w:tcPr>
            <w:tcW w:w="2737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800—1400</w:t>
            </w:r>
          </w:p>
        </w:tc>
        <w:tc>
          <w:tcPr>
            <w:tcW w:w="2800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1E596B">
        <w:trPr>
          <w:trHeight w:val="328"/>
        </w:trPr>
        <w:tc>
          <w:tcPr>
            <w:tcW w:w="2563" w:type="dxa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Более 14 » </w:t>
            </w:r>
          </w:p>
        </w:tc>
        <w:tc>
          <w:tcPr>
            <w:tcW w:w="2737" w:type="dxa"/>
          </w:tcPr>
          <w:p w:rsidR="00CD69DC" w:rsidRPr="00287A66" w:rsidRDefault="00BF1808" w:rsidP="00CD16B4">
            <w:pPr>
              <w:pStyle w:val="Normal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1000—1600</w:t>
            </w:r>
          </w:p>
        </w:tc>
        <w:tc>
          <w:tcPr>
            <w:tcW w:w="2800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</w:tbl>
    <w:p w:rsidR="00CD16B4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Проба с маннитолом проводится у детей в количестве 0,2 г маннитола на 1 кг массы.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Лучше проводить пробу с фуросемидом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(1 мг/кг массы тела).</w:t>
      </w:r>
    </w:p>
    <w:p w:rsidR="00852C5F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Терапия в олигоанурической стадии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жидкости: покрытие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perspiratio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insensibilis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: 500 мл воды на 1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м2 поверхности тела в день, к чему прибавляются потери при рвоте, потливости, лихорадке, а также количество мочи за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предшествующий день. Ежедневное взвешивание! Масса тела должна уменьшаться. Сохранение или прибавление массы тела говорит о гипергидратации!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Введение натрия запрещено! Исключением является только выявленный дефицит натрия. Уровень натрия в плазме часто быв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ает пониженным вследствие трансминерализации или гидремии (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Wilkinson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) даже без его дефицита.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Профилактика острой почечной недостаточности (приложение к </w:t>
      </w: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Truniger</w:t>
      </w: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Если проба с маннитолом оказывается положительной, то его введение продолжают. Ориентировочная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доза маннитола 1—2 г/кг массы в день. Потери жидкости, обусловленные маннитолом, необходимо восполнять эквивалентными количествами инфузионного раствора (на 1 л раствора 40 мэкв натрия и 10—20 мэкв калия).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Профилактически маннитол назначается при угрожающ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их ситуациях перед, во время и после операции больным с перитонитом, травматическим шоком, при операциях на почках, сосудах, кардиохирургических вмешательствах, желтухе. Вводят маннитол в дозе 0,3 г/кг массы тела за 10 мин перед операцией; 0,7 г/кг в час в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о время операции и 0,3 г/кг в час после операции; суточная доза 2 г/кг массы. В этих случаях также производится возмещение потерь воды и электролитов, обусловленных маннитолом.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Терапия в</w:t>
      </w: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полиурической стадии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Опасность заключается в значительной потере воды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и электролитов. Замещение нужно проводить, но так, чтобы не вызвать перенасыщения жидкостью. Лучше добиваться умеренной дегидратации (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Wilkinson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Вода: 500 мл/м2 поверхности тела в день плюс количество, эквивалентное объему мочи за предыдущий день, плюс о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бъем нефизиологических потерь.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Натрий и калий: в размерах физиологической потребности плюс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компенсация, экстраренальные и ренальные потери (определяемые количественным методом или по правилу: на 1 л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мочи приходится 60—8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0 мэкв натрия и 20—40 мэкв калия,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Tru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niger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Как можно скорее начинать оптимальное энтеральное питание, чтобы улучшить общее состояние.</w:t>
      </w:r>
    </w:p>
    <w:p w:rsidR="00852C5F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Геморр</w:t>
      </w: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агический шок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При определении потерь крови (взвешиванием, волеметрон) нужно учитывать изменение объема кров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и в связи с возрастом (табл. 2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Таблица 2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. Определение величины кровопотери (мл) в зависимости от возраста и объема крови (в %) (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Davenport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Bare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W w:w="0" w:type="auto"/>
        <w:tblInd w:w="1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0"/>
        <w:gridCol w:w="1539"/>
        <w:gridCol w:w="756"/>
        <w:gridCol w:w="804"/>
        <w:gridCol w:w="708"/>
        <w:gridCol w:w="993"/>
        <w:gridCol w:w="1203"/>
      </w:tblGrid>
      <w:tr w:rsidR="001E596B">
        <w:trPr>
          <w:trHeight w:val="576"/>
        </w:trPr>
        <w:tc>
          <w:tcPr>
            <w:tcW w:w="3100" w:type="dxa"/>
            <w:shd w:val="clear" w:color="auto" w:fill="FFFFFF"/>
            <w:vAlign w:val="center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Масса тела и объем крови </w:t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Новорожденные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6 нед</w:t>
            </w:r>
          </w:p>
        </w:tc>
        <w:tc>
          <w:tcPr>
            <w:tcW w:w="804" w:type="dxa"/>
            <w:shd w:val="clear" w:color="auto" w:fill="FFFFFF"/>
            <w:vAlign w:val="center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6 мес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5 лет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10 лет</w:t>
            </w:r>
          </w:p>
        </w:tc>
        <w:tc>
          <w:tcPr>
            <w:tcW w:w="1203" w:type="dxa"/>
            <w:shd w:val="clear" w:color="auto" w:fill="FFFFFF"/>
            <w:vAlign w:val="center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Взрослые</w:t>
            </w:r>
          </w:p>
        </w:tc>
      </w:tr>
      <w:tr w:rsidR="001E596B">
        <w:trPr>
          <w:trHeight w:val="432"/>
        </w:trPr>
        <w:tc>
          <w:tcPr>
            <w:tcW w:w="3100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Средняя масса тела в кг </w:t>
            </w:r>
          </w:p>
        </w:tc>
        <w:tc>
          <w:tcPr>
            <w:tcW w:w="1539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56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4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3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03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1E596B">
        <w:trPr>
          <w:trHeight w:val="173"/>
        </w:trPr>
        <w:tc>
          <w:tcPr>
            <w:tcW w:w="3100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10% объема крови </w:t>
            </w:r>
          </w:p>
        </w:tc>
        <w:tc>
          <w:tcPr>
            <w:tcW w:w="1539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56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04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08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993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203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1E596B">
        <w:trPr>
          <w:trHeight w:val="173"/>
        </w:trPr>
        <w:tc>
          <w:tcPr>
            <w:tcW w:w="3100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14% объема крови </w:t>
            </w:r>
          </w:p>
        </w:tc>
        <w:tc>
          <w:tcPr>
            <w:tcW w:w="1539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56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04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708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993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1203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</w:tr>
      <w:tr w:rsidR="001E596B">
        <w:trPr>
          <w:trHeight w:val="173"/>
        </w:trPr>
        <w:tc>
          <w:tcPr>
            <w:tcW w:w="3100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20% объема крови </w:t>
            </w:r>
          </w:p>
        </w:tc>
        <w:tc>
          <w:tcPr>
            <w:tcW w:w="1539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56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04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708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993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1203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1E596B">
        <w:trPr>
          <w:trHeight w:val="403"/>
        </w:trPr>
        <w:tc>
          <w:tcPr>
            <w:tcW w:w="3100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 xml:space="preserve">100% объема крови </w:t>
            </w:r>
          </w:p>
        </w:tc>
        <w:tc>
          <w:tcPr>
            <w:tcW w:w="1539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756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04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526</w:t>
            </w:r>
          </w:p>
        </w:tc>
        <w:tc>
          <w:tcPr>
            <w:tcW w:w="708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1440</w:t>
            </w:r>
          </w:p>
        </w:tc>
        <w:tc>
          <w:tcPr>
            <w:tcW w:w="993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2300</w:t>
            </w:r>
          </w:p>
        </w:tc>
        <w:tc>
          <w:tcPr>
            <w:tcW w:w="1203" w:type="dxa"/>
            <w:shd w:val="clear" w:color="auto" w:fill="FFFFFF"/>
          </w:tcPr>
          <w:p w:rsidR="00CD69DC" w:rsidRPr="00287A66" w:rsidRDefault="00BF1808" w:rsidP="00CD16B4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287A66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</w:tr>
    </w:tbl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Потеря крови до 10 мл/кг массы компенсируется у детей, не страдающих анемией (за исключением новорожденных и младенцев),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собственными регуляторными механизмами. При потере 10—20 мг/кг массы достаточно проводить компенсацию плазмозамещающими растворами (декстран 70 и декстран 40, препараты желатина).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Кровопотеря более 20 мл/кг массы должна возмещаться кровью. Новорожденные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при потере до 10 мл/кг массы получают инфузионный раствор глюкозы 100, а при больших кровопотерях — кровь. У младенцев моложе 6 мес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(физиологическая анемия) Кровопотеря возмещается кровью; у детей до 1 года потери до 10 мл/кг массы возмещаются декстраном,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большие кровопотери — кровью.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Показанием к трансфузиям крови служит не состояние функции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кровообращения, а способность к транспорту кислорода. После стабилизации кровообращения достаточно содержание гемоглобина 8—10 г/дл и гематокрит до 30%.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Гипертрофичес</w:t>
      </w: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кий стеноз привратника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Вследствие длительной рвоты возникают гипохлоремический и гипокалиемический алкалоз, а также обезвоживание. Алкалоз выявляется только приблизительно в 90% случаев, так как при тяжелых заболеваниях развивается обусловленный шоком ацид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оз. Часто возникает гипогликемия с присущими ей клиническими симптомами или без них.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Терапия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Должна обеспечить скорейшую операцию и последующее энтеральное питание. В тяжелых случаях готовить больного к операции можно в течение 24 ч. Ребенку вводят до 100—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200 мл/кг массы инфузионного раствора инвертированного сахара 100 с добавлением 50 мэкв хлорида натрия на 1 л раствора для коррекции, а также дополнительное количество, необходимое для удовлетворения физиологической потребности. Калий вводят после восстан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овления диуреза (3— 5 мэкв/кг за 24 ч). При гипогликемии вводят 20 мл инфузионного раствора глюкозы 400 на 1 кг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массы тела за 24 ч. Це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ленаправленного лечения метаболического алкалоза большей частью не требуется.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Как можно скорее нужно начинать питание есте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ственным путем (с 4-го часа после операции). Дальнейшая парентеральная терапия необходима только при не проходящей рвоте.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Дифференциальную диагностику нужно проводить с адреногенитальным синдромом, текущим с потерей солей, который клинически в этом возраст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е трудно отличить от ги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пертрофического пилоростеноза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(обзор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Blunck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Teller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Терапия при адреногенитальном синдроме [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Gautier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]: достаточное введение поваренной соли и воды (в 1 л раствора 70—95 мэкв натрия); внутрь до 120мэкв хлорида натрия в день младенцам;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альдостерон (50— 300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мкг/день) или гидрокортизон (25 мг/день). Калий не назначается!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Отек мозга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Показана осмотерапия маннитолом или сорбитолом, которые иногда для улучшения микроциркуляции вводят в смеси с декстраном 40. Начальную дозу 1—2 г маннитола или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сорбитола на 1 кг массы вводят в течение 15 мин. Для предотвращения рецидива инфузию повторяют каждые 6 ч. Важно вводить достаточное количест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во глюкозы для обеспечения энер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гией поврежденного мозга. По-видимому, прогноз может улучшить введение дексаметазон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а в больших дозах (1 мг/кг массы каждые 6 ч).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8992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0"/>
        <w:gridCol w:w="3892"/>
      </w:tblGrid>
      <w:tr w:rsidR="001E596B" w:rsidTr="009314D0">
        <w:tc>
          <w:tcPr>
            <w:tcW w:w="5100" w:type="dxa"/>
            <w:shd w:val="clear" w:color="auto" w:fill="auto"/>
          </w:tcPr>
          <w:p w:rsidR="00CD69DC" w:rsidRPr="009314D0" w:rsidRDefault="00BF1808" w:rsidP="009314D0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314D0">
              <w:rPr>
                <w:rFonts w:ascii="Times New Roman" w:hAnsi="Times New Roman" w:cs="Times New Roman"/>
                <w:color w:val="000000"/>
              </w:rPr>
              <w:t>Адреногенитальный синдром</w:t>
            </w:r>
          </w:p>
        </w:tc>
        <w:tc>
          <w:tcPr>
            <w:tcW w:w="3892" w:type="dxa"/>
            <w:shd w:val="clear" w:color="auto" w:fill="auto"/>
          </w:tcPr>
          <w:p w:rsidR="00CD69DC" w:rsidRPr="009314D0" w:rsidRDefault="00BF1808" w:rsidP="009314D0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314D0">
              <w:rPr>
                <w:rFonts w:ascii="Times New Roman" w:hAnsi="Times New Roman" w:cs="Times New Roman"/>
                <w:color w:val="000000"/>
              </w:rPr>
              <w:t>Гипертрофический стеноз привратника</w:t>
            </w:r>
          </w:p>
        </w:tc>
      </w:tr>
      <w:tr w:rsidR="001E596B" w:rsidTr="009314D0">
        <w:tc>
          <w:tcPr>
            <w:tcW w:w="5100" w:type="dxa"/>
            <w:shd w:val="clear" w:color="auto" w:fill="auto"/>
          </w:tcPr>
          <w:p w:rsidR="00CD69DC" w:rsidRPr="009314D0" w:rsidRDefault="00BF1808" w:rsidP="009314D0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314D0">
              <w:rPr>
                <w:rFonts w:ascii="Times New Roman" w:hAnsi="Times New Roman" w:cs="Times New Roman"/>
                <w:color w:val="000000"/>
              </w:rPr>
              <w:t xml:space="preserve">Изменения гениталий у девочек </w:t>
            </w:r>
          </w:p>
        </w:tc>
        <w:tc>
          <w:tcPr>
            <w:tcW w:w="3892" w:type="dxa"/>
            <w:shd w:val="clear" w:color="auto" w:fill="auto"/>
          </w:tcPr>
          <w:p w:rsidR="00CD69DC" w:rsidRPr="009314D0" w:rsidRDefault="00BF1808" w:rsidP="009314D0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314D0">
              <w:rPr>
                <w:rFonts w:ascii="Times New Roman" w:hAnsi="Times New Roman" w:cs="Times New Roman"/>
                <w:color w:val="000000"/>
              </w:rPr>
              <w:t>Чаще всего болеют мальчики</w:t>
            </w:r>
          </w:p>
        </w:tc>
      </w:tr>
      <w:tr w:rsidR="001E596B" w:rsidTr="009314D0">
        <w:tc>
          <w:tcPr>
            <w:tcW w:w="5100" w:type="dxa"/>
            <w:shd w:val="clear" w:color="auto" w:fill="auto"/>
          </w:tcPr>
          <w:p w:rsidR="00CD69DC" w:rsidRPr="009314D0" w:rsidRDefault="00BF1808" w:rsidP="009314D0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314D0">
              <w:rPr>
                <w:rFonts w:ascii="Times New Roman" w:hAnsi="Times New Roman" w:cs="Times New Roman"/>
                <w:color w:val="000000"/>
              </w:rPr>
              <w:t xml:space="preserve">Нормальное или повышенное выведение хлоридов с мочой </w:t>
            </w:r>
          </w:p>
        </w:tc>
        <w:tc>
          <w:tcPr>
            <w:tcW w:w="3892" w:type="dxa"/>
            <w:shd w:val="clear" w:color="auto" w:fill="auto"/>
          </w:tcPr>
          <w:p w:rsidR="00CD69DC" w:rsidRPr="009314D0" w:rsidRDefault="00BF1808" w:rsidP="009314D0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314D0">
              <w:rPr>
                <w:rFonts w:ascii="Times New Roman" w:hAnsi="Times New Roman" w:cs="Times New Roman"/>
                <w:color w:val="000000"/>
              </w:rPr>
              <w:t xml:space="preserve">Концентрация хлоридов в моче </w:t>
            </w:r>
            <w:r w:rsidRPr="009314D0">
              <w:rPr>
                <w:rFonts w:ascii="Times New Roman" w:hAnsi="Times New Roman" w:cs="Times New Roman"/>
                <w:color w:val="000000"/>
              </w:rPr>
              <w:t>понижена</w:t>
            </w:r>
          </w:p>
        </w:tc>
      </w:tr>
      <w:tr w:rsidR="001E596B" w:rsidTr="009314D0">
        <w:tc>
          <w:tcPr>
            <w:tcW w:w="5100" w:type="dxa"/>
            <w:shd w:val="clear" w:color="auto" w:fill="auto"/>
          </w:tcPr>
          <w:p w:rsidR="00CD69DC" w:rsidRPr="009314D0" w:rsidRDefault="00BF1808" w:rsidP="009314D0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314D0">
              <w:rPr>
                <w:rFonts w:ascii="Times New Roman" w:hAnsi="Times New Roman" w:cs="Times New Roman"/>
                <w:color w:val="000000"/>
              </w:rPr>
              <w:t xml:space="preserve">Гиперкалиемия (более 6 мэкв/л) </w:t>
            </w:r>
          </w:p>
        </w:tc>
        <w:tc>
          <w:tcPr>
            <w:tcW w:w="3892" w:type="dxa"/>
            <w:shd w:val="clear" w:color="auto" w:fill="auto"/>
          </w:tcPr>
          <w:p w:rsidR="00CD69DC" w:rsidRPr="009314D0" w:rsidRDefault="00BF1808" w:rsidP="009314D0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314D0">
              <w:rPr>
                <w:rFonts w:ascii="Times New Roman" w:hAnsi="Times New Roman" w:cs="Times New Roman"/>
                <w:color w:val="000000"/>
              </w:rPr>
              <w:t>Гипокалиемия</w:t>
            </w:r>
          </w:p>
        </w:tc>
      </w:tr>
      <w:tr w:rsidR="001E596B" w:rsidTr="009314D0">
        <w:tc>
          <w:tcPr>
            <w:tcW w:w="5100" w:type="dxa"/>
            <w:shd w:val="clear" w:color="auto" w:fill="auto"/>
          </w:tcPr>
          <w:p w:rsidR="00CD69DC" w:rsidRPr="009314D0" w:rsidRDefault="00BF1808" w:rsidP="009314D0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314D0">
              <w:rPr>
                <w:rFonts w:ascii="Times New Roman" w:hAnsi="Times New Roman" w:cs="Times New Roman"/>
                <w:color w:val="000000"/>
              </w:rPr>
              <w:t xml:space="preserve">Отсутствие дефицита калия </w:t>
            </w:r>
          </w:p>
        </w:tc>
        <w:tc>
          <w:tcPr>
            <w:tcW w:w="3892" w:type="dxa"/>
            <w:shd w:val="clear" w:color="auto" w:fill="auto"/>
          </w:tcPr>
          <w:p w:rsidR="00CD69DC" w:rsidRPr="009314D0" w:rsidRDefault="00BF1808" w:rsidP="009314D0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314D0">
              <w:rPr>
                <w:rFonts w:ascii="Times New Roman" w:hAnsi="Times New Roman" w:cs="Times New Roman"/>
                <w:color w:val="000000"/>
              </w:rPr>
              <w:t>Дефицит калия</w:t>
            </w:r>
          </w:p>
        </w:tc>
      </w:tr>
      <w:tr w:rsidR="001E596B" w:rsidTr="009314D0">
        <w:tc>
          <w:tcPr>
            <w:tcW w:w="5100" w:type="dxa"/>
            <w:shd w:val="clear" w:color="auto" w:fill="auto"/>
          </w:tcPr>
          <w:p w:rsidR="00CD69DC" w:rsidRPr="009314D0" w:rsidRDefault="00BF1808" w:rsidP="009314D0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314D0">
              <w:rPr>
                <w:rFonts w:ascii="Times New Roman" w:hAnsi="Times New Roman" w:cs="Times New Roman"/>
                <w:color w:val="000000"/>
              </w:rPr>
              <w:t>Гипонатриемия</w:t>
            </w:r>
          </w:p>
        </w:tc>
        <w:tc>
          <w:tcPr>
            <w:tcW w:w="3892" w:type="dxa"/>
            <w:shd w:val="clear" w:color="auto" w:fill="auto"/>
          </w:tcPr>
          <w:p w:rsidR="00CD69DC" w:rsidRPr="009314D0" w:rsidRDefault="00BF1808" w:rsidP="009314D0">
            <w:pPr>
              <w:pStyle w:val="Normal0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9314D0">
              <w:rPr>
                <w:rFonts w:ascii="Times New Roman" w:hAnsi="Times New Roman" w:cs="Times New Roman"/>
                <w:color w:val="000000"/>
              </w:rPr>
              <w:t>Нормо- или гипернатриемия</w:t>
            </w:r>
          </w:p>
        </w:tc>
      </w:tr>
    </w:tbl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Перитонит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Оправдана следующая тактика: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— Стабилизация кровообращения путем адекватного возмещения физиологических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потерь, дополнительных потерь, коррекция нарушений, нормализация коллоидно-осмотического давления.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Необходимо помнить: при инфузионной терапии нельзя вводить избыточного количества жидкости, иначе возникает угроза отека мозга и легких, а также повышение ин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тестинальной секреции с усилением паралича кишечника. Нужно давать такое количество воды, которое требуется для нормальной функции системы кровообращения и почек.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Стимуляция диуреза посредством стабилизации кровообращения и введения растворов сорбитола 1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00/200.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Полная компенсация потери и дефицита электролитов (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Lindenschmidt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), особенно калия.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Диагностика и соответствующая компенсация грубых нарушений кислотно-щелочного состояния.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Борьба с отеком кишечной стенки и улучшение микроциркуляции при помощи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инфузионного раствора сорбитола 200 (2 г/кг, иногда 2 раза в день) совместно с низкомолекулярным декстраном (10 мл/кг).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Введение гепарина в дозе 400 ЕД/кг массы в день внутривенно в виде длительных капельных инфузий. Успешность терапии распознается по п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овышению количества тромбоцитов.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— Антибиотикотерапия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начинается вначале с препаратов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широкого спектра, а позднее проводится в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соответствии с ан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тибиотикограммой в оптимальной дозировке и комбинации.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— -у-Глобулин человеческий (5 г/дл) можно вводить в дозе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0,5—1 мл/кг в день внутримышечно или внутривенно.</w:t>
      </w:r>
    </w:p>
    <w:p w:rsidR="00852C5F" w:rsidRPr="00BF1808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Септический шок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Оправданы следующие принципы лечения (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Schippan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Ликвидация очага инфекции: перитонеальный лаваж, дренаж плевры, вскрытие абсцесса и т. д.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Применение антибиотиков в больших дозах.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Гепарин: 400 ЕД/кг у хирургических больных, до 600 ЕД/кг у детей без потенциальных очагов кровотечения в виде длительных инфузий дробно в течение суток.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Стрептокиназа: 10000 ИЕ/кг массы за 30 мин, иногда повторное введение через 30 мин; дальнейшая терапи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я проводится под контролем свертывающей системы. При операциях и травмах из-за опасности смертельных кровотечений не применяется!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Глюкокортикоиды: однократное назначение преднизолона 30 мг/кг массы тела; иногда через 6 ч введение повторяют.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Осмо-онкоте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рапия: применение низкомолекулярных растворов декстрана и сорбитола 400 для улучшения микроциркуляции и диуреза.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Дигитализация.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Введение глюкозы как быстро реализуемого донатора энергии.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Борьба с гипертермией до нормализации температуры тела.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— В слу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чае необходимости применение управляемого дыхания.</w:t>
      </w:r>
    </w:p>
    <w:p w:rsidR="00CD69DC" w:rsidRPr="00287A66" w:rsidRDefault="00BF1808" w:rsidP="00CD16B4">
      <w:pPr>
        <w:pStyle w:val="Normal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>Ни в коем случае не назначать блокаторов протеиназ, так как блокируется присущий организму протеинолиз!</w:t>
      </w:r>
    </w:p>
    <w:p w:rsidR="00CD16B4" w:rsidRPr="00287A66" w:rsidRDefault="00BF1808" w:rsidP="00CD16B4">
      <w:pPr>
        <w:pStyle w:val="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6B4" w:rsidRPr="00287A66" w:rsidRDefault="00BF1808" w:rsidP="00CD16B4">
      <w:pPr>
        <w:pStyle w:val="Normal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87A66">
        <w:rPr>
          <w:rFonts w:ascii="Times New Roman" w:hAnsi="Times New Roman" w:cs="Times New Roman"/>
        </w:rPr>
        <w:br w:type="page"/>
      </w:r>
      <w:r w:rsidRPr="00287A6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Литература</w:t>
      </w:r>
    </w:p>
    <w:p w:rsidR="00CD16B4" w:rsidRPr="00287A66" w:rsidRDefault="00BF1808" w:rsidP="00CD16B4">
      <w:pPr>
        <w:pStyle w:val="Normal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D16B4" w:rsidRPr="00287A66" w:rsidRDefault="00BF1808" w:rsidP="00CD16B4">
      <w:pPr>
        <w:pStyle w:val="Normal0"/>
        <w:widowControl/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«Неотложная медицинская помощь», под ред. Дж.Э. Тинтиналли, Рл. Кроума, Э. Руиза,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>Перевод с английского д-ра мед. наук В.И. Кандрора, д.м.н. М.В.Неверовой, д-ра мед. наук А.В. Сучкова, к.м.н. А.В. Низового, Ю.Л. Амченкова; под ред. Д.м.н. В.Т. Ивашкина, Д.М.Н. П.Г. Брюсова; Москва «Медицина» 2001</w:t>
      </w:r>
    </w:p>
    <w:p w:rsidR="00CD69DC" w:rsidRPr="00287A66" w:rsidRDefault="00BF1808" w:rsidP="00CD16B4">
      <w:pPr>
        <w:pStyle w:val="Normal0"/>
        <w:widowControl/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rPr>
          <w:rFonts w:ascii="Times New Roman" w:hAnsi="Times New Roman" w:cs="Times New Roman"/>
        </w:rPr>
      </w:pP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Интенсивная терапия. Реанимация. Первая 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помощь: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287A66">
        <w:rPr>
          <w:rFonts w:ascii="Times New Roman" w:hAnsi="Times New Roman" w:cs="Times New Roman"/>
          <w:color w:val="000000"/>
          <w:sz w:val="28"/>
          <w:szCs w:val="28"/>
          <w:lang w:val="en-US"/>
        </w:rPr>
        <w:t>ISBN</w:t>
      </w:r>
      <w:r w:rsidRPr="00287A66">
        <w:rPr>
          <w:rFonts w:ascii="Times New Roman" w:hAnsi="Times New Roman" w:cs="Times New Roman"/>
          <w:color w:val="000000"/>
          <w:sz w:val="28"/>
          <w:szCs w:val="28"/>
        </w:rPr>
        <w:t xml:space="preserve"> 5-225-04560-Х</w:t>
      </w:r>
    </w:p>
    <w:sectPr w:rsidR="00CD69DC" w:rsidRPr="0028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B0E3720"/>
    <w:lvl w:ilvl="0" w:tplc="37CE65D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11289160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A53468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32"/>
        <w:szCs w:val="32"/>
      </w:rPr>
    </w:lvl>
    <w:lvl w:ilvl="3" w:tplc="2864FD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FE8A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B062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5DE77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C859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CA2F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2"/>
    <w:multiLevelType w:val="hybridMultilevel"/>
    <w:tmpl w:val="14380EA6"/>
    <w:lvl w:ilvl="0" w:tplc="8DC6474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E08872AE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EC8EC27C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9EBC1894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347CC5B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464C3052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1C3207F8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6100D0E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4D94A784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E3E7204"/>
    <w:lvl w:ilvl="0" w:tplc="FC084C2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312388E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1A22FF86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643A6F00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E4C2935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A20ADC7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775C86D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3AC02424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BF1C3D90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F1C6DB4"/>
    <w:lvl w:ilvl="0" w:tplc="2BD25B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1B8AF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5C6E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6BC8F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5016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42A6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A3A0B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5CBB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A8C1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6B"/>
    <w:rsid w:val="001E596B"/>
    <w:rsid w:val="00B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Normal0"/>
    <w:next w:val="Normal0"/>
    <w:link w:val="10"/>
    <w:uiPriority w:val="99"/>
    <w:qFormat/>
    <w:rsid w:val="00683387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Normal0"/>
    <w:next w:val="Normal0"/>
    <w:link w:val="20"/>
    <w:uiPriority w:val="99"/>
    <w:qFormat/>
    <w:rsid w:val="00683387"/>
    <w:pPr>
      <w:keepNext/>
      <w:widowControl/>
      <w:autoSpaceDE/>
      <w:autoSpaceDN/>
      <w:adjustRightInd/>
      <w:ind w:left="1080" w:hanging="5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qFormat/>
    <w:rsid w:val="00CD69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rmal (Web)"/>
    <w:basedOn w:val="Normal0"/>
    <w:uiPriority w:val="99"/>
    <w:rsid w:val="00683387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Normal0"/>
    <w:next w:val="Normal0"/>
    <w:link w:val="10"/>
    <w:uiPriority w:val="99"/>
    <w:qFormat/>
    <w:rsid w:val="00683387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Normal0"/>
    <w:next w:val="Normal0"/>
    <w:link w:val="20"/>
    <w:uiPriority w:val="99"/>
    <w:qFormat/>
    <w:rsid w:val="00683387"/>
    <w:pPr>
      <w:keepNext/>
      <w:widowControl/>
      <w:autoSpaceDE/>
      <w:autoSpaceDN/>
      <w:adjustRightInd/>
      <w:ind w:left="1080" w:hanging="5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qFormat/>
    <w:rsid w:val="00CD69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rmal (Web)"/>
    <w:basedOn w:val="Normal0"/>
    <w:uiPriority w:val="99"/>
    <w:rsid w:val="00683387"/>
    <w:pPr>
      <w:widowControl/>
      <w:autoSpaceDE/>
      <w:autoSpaceDN/>
      <w:adjustRightInd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Radzhab</dc:creator>
  <cp:lastModifiedBy>Igor</cp:lastModifiedBy>
  <cp:revision>5</cp:revision>
  <dcterms:created xsi:type="dcterms:W3CDTF">2019-01-19T08:04:00Z</dcterms:created>
  <dcterms:modified xsi:type="dcterms:W3CDTF">2024-03-26T08:37:00Z</dcterms:modified>
</cp:coreProperties>
</file>