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Терминальные состояния и клиническая смерть</w:t>
      </w:r>
    </w:p>
    <w:p w:rsidR="00000000" w:rsidRDefault="0077122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 Губин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Реаниматология – наука об оживлении организма. А так как я – реаниматолог, то говорить буду о жизни и смер</w:t>
      </w:r>
      <w:r>
        <w:rPr>
          <w:color w:val="000000"/>
          <w:sz w:val="24"/>
          <w:szCs w:val="24"/>
        </w:rPr>
        <w:t>ти с точки зрения врача-реаниматолога, имеющего достаточно большой опыт наблюдения, ведения и предотвращения процесса умирания-смерти.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информация о различных ощущениях, испытанных больными, пережившими клиническую смерть, чаще всего основана на субъект</w:t>
      </w:r>
      <w:r>
        <w:rPr>
          <w:color w:val="000000"/>
          <w:sz w:val="24"/>
          <w:szCs w:val="24"/>
        </w:rPr>
        <w:t>ивных данных (опрос этих больных, зачастую направляемый опрашиваемым в нужное ему русло). В этой статье я последовательно пройду по стадиям умирания, опишу объективные процессы, происходящие с организмом и сознанием умирающего, и коснусь возможности и усло</w:t>
      </w:r>
      <w:r>
        <w:rPr>
          <w:color w:val="000000"/>
          <w:sz w:val="24"/>
          <w:szCs w:val="24"/>
        </w:rPr>
        <w:t>вий полного социального восстановления перенёсших клиническую смерть.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Терминальные состояния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определению [1] к терминальным состояниям относятся преагония, агония и клиническая смерть. Качественный переход от жизни к смерти представляется последовательн</w:t>
      </w:r>
      <w:r>
        <w:rPr>
          <w:color w:val="000000"/>
          <w:sz w:val="24"/>
          <w:szCs w:val="24"/>
        </w:rPr>
        <w:t>ым закономерным нарушением функций и систем организма, заканчивающимся их выключением. Именно это обстоятельство – последовательность и постепенность выключения функций – даёт время и возможность для вмешательства с целью восстановления жизни.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Преагонально</w:t>
      </w:r>
      <w:r>
        <w:rPr>
          <w:b/>
          <w:bCs/>
          <w:color w:val="000000"/>
          <w:sz w:val="28"/>
          <w:szCs w:val="28"/>
        </w:rPr>
        <w:t>е состояние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Характеристики: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деятельности центральной нервной системы (сопор или кома),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низкое артериальное давление,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централизация кровообращения,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расстройства дыхания.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это способствует развитию кислородного голодания тканей и снижения pH</w:t>
      </w:r>
      <w:r>
        <w:rPr>
          <w:color w:val="000000"/>
          <w:sz w:val="24"/>
          <w:szCs w:val="24"/>
        </w:rPr>
        <w:t xml:space="preserve"> (тканевой ацидоз). Тем не менее в преагональном состоянии основным видом обмена веществ является окислительный [2]. Этот период не имеет определённой продолжительности. Он может даже отсутствовать, например, при внезапном развитии остановки сердца в резул</w:t>
      </w:r>
      <w:r>
        <w:rPr>
          <w:color w:val="000000"/>
          <w:sz w:val="24"/>
          <w:szCs w:val="24"/>
        </w:rPr>
        <w:t>ьтате поражения электрическим током. В случаях, когда организм имеет возможность включить различные компенсаторные механизмы (например, кровопотеря), преагональное состояние может продолжаться несколько часов, даже если лечебная помощь не проводилась.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Агон</w:t>
      </w:r>
      <w:r>
        <w:rPr>
          <w:b/>
          <w:bCs/>
          <w:color w:val="000000"/>
          <w:sz w:val="28"/>
          <w:szCs w:val="28"/>
        </w:rPr>
        <w:t>ия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агонии часто весьма чётко характеризуется клинически и в 100% случаев – на ЭКГ и ЭЭГ [3], т.к. переходом между преагонией и агонией является так называемая терминальная пауза. Клинически она характеризуется тем, что после резкого учащения дыхания</w:t>
      </w:r>
      <w:r>
        <w:rPr>
          <w:color w:val="000000"/>
          <w:sz w:val="24"/>
          <w:szCs w:val="24"/>
        </w:rPr>
        <w:t xml:space="preserve"> внезапно наступает его остановка, исчезают роговичные рефлексы, на ЭКГ регулярный ритм сменяется редкими единичными импульсами. Терминальная пауза длится от нескольких секунд до 2...4 мин [4].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Динамика агонии даётся по [1]: агония начинается короткой сери</w:t>
      </w:r>
      <w:r>
        <w:rPr>
          <w:color w:val="000000"/>
          <w:sz w:val="24"/>
          <w:szCs w:val="24"/>
        </w:rPr>
        <w:t xml:space="preserve">ей вдохов или единственным вдохом. Амплитуда дыхания нарастает, его структура нарушена – одновременно возбуждаются мышцы, осуществляющие и вдох, и выдох, что приводит к почти полному прекращению вентиляции легких. Достигнув определённого максимума, </w:t>
      </w:r>
      <w:r>
        <w:rPr>
          <w:color w:val="000000"/>
          <w:sz w:val="24"/>
          <w:szCs w:val="24"/>
        </w:rPr>
        <w:lastRenderedPageBreak/>
        <w:t>дыхател</w:t>
      </w:r>
      <w:r>
        <w:rPr>
          <w:color w:val="000000"/>
          <w:sz w:val="24"/>
          <w:szCs w:val="24"/>
        </w:rPr>
        <w:t>ьные движения уменьшаются и быстро прекращаются. Это объясняется тем, что высшие отделы центральной нервной системы на этом этапе выключаются, что экспериментально подтверждено в [1], и роль регуляторов жизненных функций переходит к продолговатому и спинно</w:t>
      </w:r>
      <w:r>
        <w:rPr>
          <w:color w:val="000000"/>
          <w:sz w:val="24"/>
          <w:szCs w:val="24"/>
        </w:rPr>
        <w:t xml:space="preserve">му мозгу. Регуляция направлена на мобилизацию всех последних возможностей организма сохранить жизнь. При этом не только восстанавливаются описанные выше дыхательные движения, но и появляется пульсация крупных артерий, правильный ритм и кровоток, что может </w:t>
      </w:r>
      <w:r>
        <w:rPr>
          <w:color w:val="000000"/>
          <w:sz w:val="24"/>
          <w:szCs w:val="24"/>
        </w:rPr>
        <w:t>привести к восстановлению зрачкового рефлекса и даже сознания. Однако эта борьба со смертью неэффективна, т.к. энергетика организма в этой стадии пополняется уже за счет анаэробного (безкислородного) обмена и не только становится недостаточной в количестве</w:t>
      </w:r>
      <w:r>
        <w:rPr>
          <w:color w:val="000000"/>
          <w:sz w:val="24"/>
          <w:szCs w:val="24"/>
        </w:rPr>
        <w:t>нном отношении, но и приводит к качественным изменениям – быстрому накоплению недоокисленных продуктов обмена.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во время агонии организм теряет те пресловутые 60...80 граммов веса (за счёт полного сжигания АТФ и истощения клеточных запасов), которые </w:t>
      </w:r>
      <w:r>
        <w:rPr>
          <w:color w:val="000000"/>
          <w:sz w:val="24"/>
          <w:szCs w:val="24"/>
        </w:rPr>
        <w:t>в некоторых наукообразных статьях называют весом души, покинувшей после агонии тело.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агонии невелика, её выраженность зависит от характера патологических изменений в организме, на фоне которых она возникла. После этого дыхание и сердечные</w:t>
      </w:r>
      <w:r>
        <w:rPr>
          <w:color w:val="000000"/>
          <w:sz w:val="24"/>
          <w:szCs w:val="24"/>
        </w:rPr>
        <w:t xml:space="preserve"> сокращения прекращаются, и наступает клиническая смерть.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смерть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Своеобразное переходное состояние между жизнью и смертью, начинается с момента прекращения деятельности центральной нервной системы, кровообращения и дыхания и продолжается в тече</w:t>
      </w:r>
      <w:r>
        <w:rPr>
          <w:color w:val="000000"/>
          <w:sz w:val="24"/>
          <w:szCs w:val="24"/>
        </w:rPr>
        <w:t xml:space="preserve">ние короткого промежутка времени, пока не разовьются необратимые изменения в головном мозге. С момента их наступления смерть расценивается как биологическая (в контексте этой статьи я уравниваю понятия социальной и биологической смерти ввиду необратимости </w:t>
      </w:r>
      <w:r>
        <w:rPr>
          <w:color w:val="000000"/>
          <w:sz w:val="24"/>
          <w:szCs w:val="24"/>
        </w:rPr>
        <w:t>процессов, происшедших в организме). Таким образом, главной динамической характеристикой клинической смерти является возможная обратимость этого состояния.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клинической смерти дыхание, кровообращение и рефлексы отсутствуют, однако клеточный обмен в</w:t>
      </w:r>
      <w:r>
        <w:rPr>
          <w:color w:val="000000"/>
          <w:sz w:val="24"/>
          <w:szCs w:val="24"/>
        </w:rPr>
        <w:t>еществ продолжается анаэробным путем. Постепенно запасы энергетиков в мозге истощаются, и нервная ткань умирает.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 считать [1], что в обычных условиях срок клинической смерти у человека составляет 3...6 мин. Необходимо учитывать, что необратимые изме</w:t>
      </w:r>
      <w:r>
        <w:rPr>
          <w:color w:val="000000"/>
          <w:sz w:val="24"/>
          <w:szCs w:val="24"/>
        </w:rPr>
        <w:t>нения в исторически-молодых образованиях головного мозга (кора) наступают гораздо быстрей, чем в более древних (ствол, продолговатый мозг). При полном отсутствии кислорода в коре и мозжечке за 2...2,5мин возникают фокусы омертвения, а в продолговатом мозге</w:t>
      </w:r>
      <w:r>
        <w:rPr>
          <w:color w:val="000000"/>
          <w:sz w:val="24"/>
          <w:szCs w:val="24"/>
        </w:rPr>
        <w:t xml:space="preserve"> даже через 10...15мин погибают лишь единичные клетки [5].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Смерть мозга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Смерть мозга представляет собой необратимое прекращение всех его функций. Её главные диагностические признаки: отсутствие активности полушарий (отсутствие реакций на раздражения), отсу</w:t>
      </w:r>
      <w:r>
        <w:rPr>
          <w:color w:val="000000"/>
          <w:sz w:val="24"/>
          <w:szCs w:val="24"/>
        </w:rPr>
        <w:t>тствие мозговых рефлексов, ЭЭГ – молчание (даже при искусственном раздражении [3]).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Достаточным признаком смерти мозга является отсутствие признаков внутричерепного кровообращения (Max Wertheimer, 1880...1943гг.).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Жизнь после смерти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рассмотрения дина</w:t>
      </w:r>
      <w:r>
        <w:rPr>
          <w:color w:val="000000"/>
          <w:sz w:val="24"/>
          <w:szCs w:val="24"/>
        </w:rPr>
        <w:t>мики умирания перейдём к анализу доводов и положений, которыми оперируют практически все адепты «жизни после смерти» и «нематериальной души».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Контингент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Подавляющее большинство книг [6...13] строится на опросе людей, «перенёсших клиническую смерть». Причём</w:t>
      </w:r>
      <w:r>
        <w:rPr>
          <w:color w:val="000000"/>
          <w:sz w:val="24"/>
          <w:szCs w:val="24"/>
        </w:rPr>
        <w:t xml:space="preserve"> полностью отсутствуют данные о том, когда, кем и каким образом фиксировался факт наступления клинической смерти у этих людей. Как говорилось выше, для констатации наступления клинической смерти необходима обязательная фиксация трех составляющих: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</w:t>
      </w:r>
      <w:r>
        <w:rPr>
          <w:color w:val="000000"/>
          <w:sz w:val="24"/>
          <w:szCs w:val="24"/>
        </w:rPr>
        <w:t xml:space="preserve">е дыхания;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кровообращения;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отсутствие рефлексов.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данные, полученные при работе с такими группами больных, просто некорректно связывать с понятием собственно клинической смерти – в общую группу исследуемых могли попасть б</w:t>
      </w:r>
      <w:r>
        <w:rPr>
          <w:color w:val="000000"/>
          <w:sz w:val="24"/>
          <w:szCs w:val="24"/>
        </w:rPr>
        <w:t>ольные, перенесшие отравления (например, тормозящими или снотворными лекарственными веществами), глубокую кому, эпилептический припадок (pti mal), шок и т.д. Да и сами исследователи иногда не скрывают, что те или иные странные симптомы не связаны с клиниче</w:t>
      </w:r>
      <w:r>
        <w:rPr>
          <w:color w:val="000000"/>
          <w:sz w:val="24"/>
          <w:szCs w:val="24"/>
        </w:rPr>
        <w:t>ской смертью, но почему-то не оценивают этого объективно.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один из главных адептов «жизни после смерти» Р.Моуди [8], критикуя физиологическое объяснение приводимых им симптомов (тоннель, отделение от тела и пр.), пишет: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«Основная ошибка этого представл</w:t>
      </w:r>
      <w:r>
        <w:rPr>
          <w:color w:val="000000"/>
          <w:sz w:val="24"/>
          <w:szCs w:val="24"/>
        </w:rPr>
        <w:t>ения заключается в следующем: как можно легко увидеть из обзора предсмертного опыта, приведённого выше, в большом числе случаев переживание предсмертного опыта имело место ещё до (!!! – Примеч.авт.) каких-либо физиологических повреждений, предполагаемых уп</w:t>
      </w:r>
      <w:r>
        <w:rPr>
          <w:color w:val="000000"/>
          <w:sz w:val="24"/>
          <w:szCs w:val="24"/>
        </w:rPr>
        <w:t>омянутой гипотезой».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каком предсмертном опыте можно говорить при отсутствии каких-либо физиологических повреждений? Отсутствие физиологических повреждений изучает нормальная физиология – физиология здорового организма. И далее Моуди пишет: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 самом деле,</w:t>
      </w:r>
      <w:r>
        <w:rPr>
          <w:color w:val="000000"/>
          <w:sz w:val="24"/>
          <w:szCs w:val="24"/>
        </w:rPr>
        <w:t xml:space="preserve"> в нескольких случаях в течение всего переживания предсмертного опыта не было никаких телесных повреждений, в то же время каждый отдельный элемент, который появлялся в случае жестоких травм, наблюдался также и в других примерах, в которых какие-либо травмы</w:t>
      </w:r>
      <w:r>
        <w:rPr>
          <w:color w:val="000000"/>
          <w:sz w:val="24"/>
          <w:szCs w:val="24"/>
        </w:rPr>
        <w:t xml:space="preserve"> полностью отсутствовали».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где же элементарные выводы – в одном случае «не было телесных повреждений», в другом человек умирал от «жестоких травм», а в большинстве случаев (не описанных автором) вообще никаких симптомов не было – так, может быть, описанн</w:t>
      </w:r>
      <w:r>
        <w:rPr>
          <w:color w:val="000000"/>
          <w:sz w:val="24"/>
          <w:szCs w:val="24"/>
        </w:rPr>
        <w:t>ое автором укладывается в какой-нибудь другой ряд, а не является предсмертным опытом?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Вывод: если у опрашиваемого не было чёткой врачебной фиксации клинической смерти, он не может быть включён в общую выборку больных, демонстрирующих «жизнь после смерти». </w:t>
      </w:r>
      <w:r>
        <w:rPr>
          <w:color w:val="000000"/>
          <w:sz w:val="24"/>
          <w:szCs w:val="24"/>
        </w:rPr>
        <w:t>Ни в одном обозримом источнике, доказывающем наличие «жизни после смерти», такие данные не приводятся. Это значит, что материал изначально строится на некорректных выборках и не может оцениваться как научные данные.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Субъективность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Предположим пока, что бол</w:t>
      </w:r>
      <w:r>
        <w:rPr>
          <w:color w:val="000000"/>
          <w:sz w:val="24"/>
          <w:szCs w:val="24"/>
        </w:rPr>
        <w:t>ьшинство опрашиваемых добросовестно и полностью вспомнили то, что перенесли во время «умирания». Возникает вопрос, а сколько людей, перенёсших клиническую смерть, может впоследствии более или менее подробно рассказать об этом?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что говорят сторонники «ж</w:t>
      </w:r>
      <w:r>
        <w:rPr>
          <w:color w:val="000000"/>
          <w:sz w:val="24"/>
          <w:szCs w:val="24"/>
        </w:rPr>
        <w:t>изни после смерти»: «Только 10 процентов людей, находившихся на грани смерти или переживших клиническую смерть, могли ясно припомнить, что они переживали при этом» [6]. Другие исследователи называют большие цифры – от 15 до 35%.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я приведу статистику</w:t>
      </w:r>
      <w:r>
        <w:rPr>
          <w:color w:val="000000"/>
          <w:sz w:val="24"/>
          <w:szCs w:val="24"/>
        </w:rPr>
        <w:t xml:space="preserve"> программы Collaborative Study – совместной программы, организованной National Institute of Neurological and Communicative Disorders and Stroke (NINDS) [14], в которой принимали участие 9 крупных клиник (см. табл.1).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Окончательный исход клиническ</w:t>
      </w:r>
      <w:r>
        <w:rPr>
          <w:color w:val="000000"/>
          <w:sz w:val="24"/>
          <w:szCs w:val="24"/>
        </w:rPr>
        <w:t>ой смерти (всего 503 больных)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41"/>
        <w:gridCol w:w="2420"/>
        <w:gridCol w:w="152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случаев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Смерть вследствие остановки сердца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68,59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Смерть мозга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Неполное восстановление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3,58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восстановление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00000" w:rsidRDefault="007712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истечении трех месяцев после включения в прог</w:t>
      </w:r>
      <w:r>
        <w:rPr>
          <w:color w:val="000000"/>
          <w:sz w:val="24"/>
          <w:szCs w:val="24"/>
        </w:rPr>
        <w:t>рамму данного исследования 41 больной был жив (8,15%). Из них 18 (3,58%) имели те или иные нарушения высшей нервной деятельности и требовали постороннего ухода, причём один из них умер через четыре месяца после первой клинической смерти. Таким образом, тол</w:t>
      </w:r>
      <w:r>
        <w:rPr>
          <w:color w:val="000000"/>
          <w:sz w:val="24"/>
          <w:szCs w:val="24"/>
        </w:rPr>
        <w:t>ько у 5,17% больных, перенёсших клиническую смерть, впоследствии наступило полное восстановление нарушенных функций. Из этого числа больных в 14 случаях первоначально были диагностированы лекарственные отравления, и они находились в коме более 30мин.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Попро</w:t>
      </w:r>
      <w:r>
        <w:rPr>
          <w:color w:val="000000"/>
          <w:sz w:val="24"/>
          <w:szCs w:val="24"/>
        </w:rPr>
        <w:t>буем сделать выводы из вышесказанного: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приверженцы «жизни после смерти» называют гораздо большие цифры (от 10 до 30%), говоря о количестве людей, которые «могли ясно припомнить, что они переживали», вероятно, значительная часть этих воспоминаний пр</w:t>
      </w:r>
      <w:r>
        <w:rPr>
          <w:color w:val="000000"/>
          <w:sz w:val="24"/>
          <w:szCs w:val="24"/>
        </w:rPr>
        <w:t>осто не связана с клинической смертью или воспоминания «искусственны», навязаны опрашиваемым.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психиатров есть понятие «патологической внушаемости», когда больной с неустойчивой психикой (состояние перед психозом, психическое истощение и т.д.) послушно «в</w:t>
      </w:r>
      <w:r>
        <w:rPr>
          <w:color w:val="000000"/>
          <w:sz w:val="24"/>
          <w:szCs w:val="24"/>
        </w:rPr>
        <w:t>идит» и «слышит» то, о чём ему говорит врач. Это полностью относится к группе больных, перенёсших клиническую смерть и постреанимационную болезнь. Таким образом, если в какой-либо статье приводятся данные, что более 4,4...6,0% больных, перенёсших клиническ</w:t>
      </w:r>
      <w:r>
        <w:rPr>
          <w:color w:val="000000"/>
          <w:sz w:val="24"/>
          <w:szCs w:val="24"/>
        </w:rPr>
        <w:t>ую смерть, имеют какие-то подробные посмертные воспоминания, эти данные просто необъективны (неверно определена группа исследуемых, неверны методики опроса и т.д.).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перейти к обсуждению симптомов, приводимых в доказательство «жизни посл</w:t>
      </w:r>
      <w:r>
        <w:rPr>
          <w:color w:val="000000"/>
          <w:sz w:val="24"/>
          <w:szCs w:val="24"/>
        </w:rPr>
        <w:t>е смерти», хочу обратить внимание, что при обсуждении этого вопроса уравниваются воспоминания двух совершенно различных групп людей (Р.Моуди):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людей, которых врачи считали или объявили клинически мёртвыми и которые были реанимированы;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людей, кот</w:t>
      </w:r>
      <w:r>
        <w:rPr>
          <w:color w:val="000000"/>
          <w:sz w:val="24"/>
          <w:szCs w:val="24"/>
        </w:rPr>
        <w:t xml:space="preserve">орые в результате аварии либо опасного ранения или болезни были очень близки к состоянию физической смерти.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это уже должно заставить исследователя исключить смерть из логической цепочки дальнейших рассуждений.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симптомы: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«неспособность выразить </w:t>
      </w:r>
      <w:r>
        <w:rPr>
          <w:color w:val="000000"/>
          <w:sz w:val="24"/>
          <w:szCs w:val="24"/>
        </w:rPr>
        <w:t xml:space="preserve">словами»;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способность слышать;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«ощущение покоя» или «страха» (при самоубийстве);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шум, звон различной интенсивности;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тёмный тоннель, тёмная пустота;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«выход из тела», «перемещение в пространстве независимо от мёртвого тела»;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обострение физических чувст</w:t>
      </w:r>
      <w:r>
        <w:rPr>
          <w:color w:val="000000"/>
          <w:sz w:val="24"/>
          <w:szCs w:val="24"/>
        </w:rPr>
        <w:t xml:space="preserve">в (слух, зрение, обоняние);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встречи с другими лицами, часто – умершими ранее, особое выделение светящегося «духа», «ангела»;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картины прошлой жизни;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какого-то предела (весьма размытое понятие);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нежелание возвращаться.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теперь я попробую при</w:t>
      </w:r>
      <w:r>
        <w:rPr>
          <w:color w:val="000000"/>
          <w:sz w:val="24"/>
          <w:szCs w:val="24"/>
        </w:rPr>
        <w:t>вести те же симптомы в несколько иной терминологии: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затруднение выражения виденных образов в символах второй сигнальной системы;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усиление патологической доминанты (очага возбуждения коры) слуховым раздражителем;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торможение отделов мозга, стимулирующих ра</w:t>
      </w:r>
      <w:r>
        <w:rPr>
          <w:color w:val="000000"/>
          <w:sz w:val="24"/>
          <w:szCs w:val="24"/>
        </w:rPr>
        <w:t xml:space="preserve">боту коры;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сильное энергетическое обеспечение механизмов центрального зрения;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различные нарушения целостной работы центральной нервной системы;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большая стойкость глубоких очагов возбуждения, имеющих между собой выраженные связи;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прекращени</w:t>
      </w:r>
      <w:r>
        <w:rPr>
          <w:color w:val="000000"/>
          <w:sz w:val="24"/>
          <w:szCs w:val="24"/>
        </w:rPr>
        <w:t xml:space="preserve">е интеграционной (объединяющей) функции коры.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перечисление ничего не напоминает врачам интенсивной терапии? Симптомы почти дословно взяты из описания действия кетамина (кеталар, каллипсол) на центральную нервную систему [15]. Отличительная особенность</w:t>
      </w:r>
      <w:r>
        <w:rPr>
          <w:color w:val="000000"/>
          <w:sz w:val="24"/>
          <w:szCs w:val="24"/>
        </w:rPr>
        <w:t xml:space="preserve"> этого препарата – стимуляция изменений процессов возбуждения, торможения коры головного мозга – так называемый диссоциативный (разделяющий) наркоз. В результате больные не чувствуют конкретных раздражений (боль, чувство давления и растяжения), но тоже слы</w:t>
      </w:r>
      <w:r>
        <w:rPr>
          <w:color w:val="000000"/>
          <w:sz w:val="24"/>
          <w:szCs w:val="24"/>
        </w:rPr>
        <w:t>шат, видят (и, кстати, довольно часто тоннель или «трубу»), куда-то «уходят», «возносятся», встречают близких и т.д. И ведь всё это неоднократно описано в специальной литературе. Просто удивляет способность некоторых авторов «не видеть того, что им не нужн</w:t>
      </w:r>
      <w:r>
        <w:rPr>
          <w:color w:val="000000"/>
          <w:sz w:val="24"/>
          <w:szCs w:val="24"/>
        </w:rPr>
        <w:t>о». В лучшем случае следует оговорка – «люди, которых я опрашивал, не были под наркозом».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это уже сознательное или «защитное» передёргивание. Речь ведь идет не о наркозе, а о нарушениях связей между участками коры головного мозга, вызывающих конкретные с</w:t>
      </w:r>
      <w:r>
        <w:rPr>
          <w:color w:val="000000"/>
          <w:sz w:val="24"/>
          <w:szCs w:val="24"/>
        </w:rPr>
        <w:t>имптомы. При умирании такие процессы обусловлены кислородным голоданием тканей и снижением pH, но они наступают и проявляются на первом этапе умирания (когда кора ещё не отключилась) и после оживления (если мозг не погиб).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хочу привести ещё не</w:t>
      </w:r>
      <w:r>
        <w:rPr>
          <w:color w:val="000000"/>
          <w:sz w:val="24"/>
          <w:szCs w:val="24"/>
        </w:rPr>
        <w:t>которые состояния, сопровождающиеся нарушением корковых связей и вышеперечисленными симптомами: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отравления (нередко передозировки некоторых лекарственных веществ, сопровождающиеся глубокой комой, принимаются за смерть, и если больной выведен из этого состо</w:t>
      </w:r>
      <w:r>
        <w:rPr>
          <w:color w:val="000000"/>
          <w:sz w:val="24"/>
          <w:szCs w:val="24"/>
        </w:rPr>
        <w:t xml:space="preserve">яния, он описывает почти все вышеперечисленные симптомы, а иногда даже уверен, что побывал на том свете [16]);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некоторых препаратов, влияющих на психику (без передозировки), – упоминавшийся кетамин, ЛСД;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кома, вызванная снижением уровня сахара в</w:t>
      </w:r>
      <w:r>
        <w:rPr>
          <w:color w:val="000000"/>
          <w:sz w:val="24"/>
          <w:szCs w:val="24"/>
        </w:rPr>
        <w:t xml:space="preserve"> крови.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литературе достаточно описания симптомов, сопровождающих развитие этого состояния, – нужно только хотеть читать. В частности, нарушения, обусловленные физическими воздействиями, – например кома при замерзании, кстати, чаще всего дававшая в прошл</w:t>
      </w:r>
      <w:r>
        <w:rPr>
          <w:color w:val="000000"/>
          <w:sz w:val="24"/>
          <w:szCs w:val="24"/>
        </w:rPr>
        <w:t>ом феномен «чудесного воскрешения» при согревании в гробу или в морге [3]. После повышения температуры тела до 35°C и выше больной, если приходит в себя, рассказывает и про «ангелов», и про «неземное тепло», и про «свет в конце тоннеля».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Хочется подчеркнут</w:t>
      </w:r>
      <w:r>
        <w:rPr>
          <w:color w:val="000000"/>
          <w:sz w:val="24"/>
          <w:szCs w:val="24"/>
        </w:rPr>
        <w:t>ь один нюанс – около 15...17% принимавших ЛСД отмечают, что после этого общались с инопланетянами. Так что, после этого писать трактат – «ЛСД как проводник к иным мирам»?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приведу слова доктора философии Раймонда Моуди: «Я не стремлю</w:t>
      </w:r>
      <w:r>
        <w:rPr>
          <w:color w:val="000000"/>
          <w:sz w:val="24"/>
          <w:szCs w:val="24"/>
        </w:rPr>
        <w:t>сь "доказать", что есть жизнь после смерти. И я вообще не думаю, что такое "доказательство" действительно возможно».</w:t>
      </w:r>
    </w:p>
    <w:p w:rsidR="00000000" w:rsidRDefault="0077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Неговский В. и др. Постреанимационная болезнь. М.: Медицина, 1979.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Бунятян А., Рябов Г., Маневич А. Анестезиология и реа</w:t>
      </w:r>
      <w:r>
        <w:rPr>
          <w:color w:val="000000"/>
          <w:sz w:val="24"/>
          <w:szCs w:val="24"/>
        </w:rPr>
        <w:t xml:space="preserve">ниматология. М.: Медицина, 1984.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Уолкер А. Смерть мозга. М.: Медицина, 1988.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Усенко Л. и др. Анестезиология и реаниматология: Практические занятия. К., Выща школа, 1983.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Адо А.Д. Патологическая физиология. М.: Триада-Х, 2000.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Элизабет Кюблер-Росс. О см</w:t>
      </w:r>
      <w:r>
        <w:rPr>
          <w:color w:val="000000"/>
          <w:sz w:val="24"/>
          <w:szCs w:val="24"/>
        </w:rPr>
        <w:t xml:space="preserve">ерти и умирании. София, 1969.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Мейерс Дж. Голоса на краю вечности. 1973.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Моуди Р. Жизнь после жизни. 1976.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Элизабет Кюблер-Росс. Смерть не существует. 1977.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Уиклер Д.Р. Путешествие по ту сторону. 1977.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Роуз С. Душа после смерти. 1982.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Моуди Р. Размышл</w:t>
      </w:r>
      <w:r>
        <w:rPr>
          <w:color w:val="000000"/>
          <w:sz w:val="24"/>
          <w:szCs w:val="24"/>
        </w:rPr>
        <w:t xml:space="preserve">ения о смерти после смерти. 1983.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Калиновский П. Переход. </w:t>
      </w:r>
      <w:r>
        <w:rPr>
          <w:color w:val="000000"/>
          <w:sz w:val="24"/>
          <w:szCs w:val="24"/>
          <w:lang w:val="en-US"/>
        </w:rPr>
        <w:t xml:space="preserve">1991.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An appraisal of the criteria of cerebral death. A summary statement. A collaborative study. </w:t>
      </w:r>
      <w:r>
        <w:rPr>
          <w:color w:val="000000"/>
          <w:sz w:val="24"/>
          <w:szCs w:val="24"/>
        </w:rPr>
        <w:t xml:space="preserve">JAMA 237:982-986.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Чекман И. Осложнения фармакотерапии. К</w:t>
      </w:r>
      <w:r>
        <w:rPr>
          <w:color w:val="000000"/>
          <w:sz w:val="24"/>
          <w:szCs w:val="24"/>
          <w:lang w:val="en-US"/>
        </w:rPr>
        <w:t xml:space="preserve">.: </w:t>
      </w:r>
      <w:r>
        <w:rPr>
          <w:color w:val="000000"/>
          <w:sz w:val="24"/>
          <w:szCs w:val="24"/>
        </w:rPr>
        <w:t>Здоровье</w:t>
      </w:r>
      <w:r>
        <w:rPr>
          <w:color w:val="000000"/>
          <w:sz w:val="24"/>
          <w:szCs w:val="24"/>
          <w:lang w:val="en-US"/>
        </w:rPr>
        <w:t xml:space="preserve">, 1980. </w:t>
      </w:r>
    </w:p>
    <w:p w:rsidR="00000000" w:rsidRDefault="0077122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Thienes C., Haley T.J</w:t>
      </w:r>
      <w:r>
        <w:rPr>
          <w:color w:val="000000"/>
          <w:sz w:val="24"/>
          <w:szCs w:val="24"/>
          <w:lang w:val="en-US"/>
        </w:rPr>
        <w:t xml:space="preserve">. Clinical Toxicology. 5thed. Philadelphia: Lea and Febiger, 1972. </w:t>
      </w:r>
    </w:p>
    <w:p w:rsidR="0077122F" w:rsidRDefault="0077122F"/>
    <w:sectPr w:rsidR="0077122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2"/>
    <w:rsid w:val="0077122F"/>
    <w:rsid w:val="008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13927</Characters>
  <Application>Microsoft Office Word</Application>
  <DocSecurity>0</DocSecurity>
  <Lines>116</Lines>
  <Paragraphs>32</Paragraphs>
  <ScaleCrop>false</ScaleCrop>
  <Company>PERSONAL COMPUTERS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Терминальные состояния и клиническая смерть</dc:title>
  <dc:creator>USER</dc:creator>
  <cp:lastModifiedBy>Igor</cp:lastModifiedBy>
  <cp:revision>3</cp:revision>
  <dcterms:created xsi:type="dcterms:W3CDTF">2024-07-19T09:05:00Z</dcterms:created>
  <dcterms:modified xsi:type="dcterms:W3CDTF">2024-07-19T09:05:00Z</dcterms:modified>
</cp:coreProperties>
</file>