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B9" w:rsidRPr="007E4F85" w:rsidRDefault="003866B9" w:rsidP="003866B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E4F85">
        <w:rPr>
          <w:b/>
          <w:bCs/>
          <w:sz w:val="32"/>
          <w:szCs w:val="32"/>
        </w:rPr>
        <w:t>Tрихомониаз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Трихомониаз – заболевание, передающееся половым путем, возбудителем которого является простейший микроорганизм T. vaginalis.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Клинические проявления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У большей части мужчин, инфицированных T. vaginalis, заболевание протекает бессимптомно. Возможно также появление признаков уретрита (рези, жжение и зуд мочеиспускании, выделения из мочеиспускательного канала). У большей части женщин заболевание характеризуется появлением зловонных желто-зеного цвета выделений и признаков раздражения наружных половых органов. Однако, у части женщин, также как и у мужчин заболевание может протекать бессимптомно.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Диагностика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Диагноз обычно выставляется на основании микроскопического исследования выделений из влагалища или уретры. Однако чувствительность этого метода обычно не превышает 60-70%. Большей чувствительностью обладает культуральный метод, который можно назвать «золотым стандартом» диагноза. Что касается использования полимеразной цепной реакции (ПЦР) в диагностике T. vaginalis, то, несмотря на большое количество коммерческих наборов, в которых используется данный метод, в США ни один из них не одобрен FDA(Организация по администрированию продуктами и лекарствами).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Лечение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Кого лечить?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Всех, у которых диагностирован трихомониаз, в том числе и беременных, а также лица, являющиеся половыми партнера пациента.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Почему лечить?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Трихомониаз может способствовать развитию простатита, быть причиной нарушения потенции и стерильности у мужчин. У женщин вагинальный трихомониаз может способствовать развитию воспалительных заболеваний половых органов с последующим бесплодием. У беременных это заболевание ассоциировано с неблагоприятными исходами беременности, преждевременным частичным разрывом мембраны околоплодного яйца с истечением околоплодных вод, преждевременными родами и низким весом плода.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Как лечить?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В настоящее время основной группой лекарственных препаратов, которые используются в лечении трихомониаза, являются нитроимидазолы. В США метронидазол - единственный препарат из этой группы, разрешенный для лечения данного заболевания. Метронидазол назначают, в том числе и беременным женщинам, однократно внутрь в дозе 2 г. Альтернативным режимом является назначение того же метронидазола, но уже по 500 мг 2 раза в день в течение 7 дней. Многочисленные исследования и мета-анализы не выявили тератогенных и мутагенных эффектов на плод метронидазола при его использовании во время беременности.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Правильно спланированные и проведенные клинические исследования показали, что рекомендованные режимы приема метронидазола обеспечивают излечение на уровне 90% - 95% случаев. Гарантированное лечение ВСЕХ половых партнеров заболевшего еще больше повышает эффективность лечения. Именно такой подход способствует не только исчезновению проявлений трихомониаза, микробиологическому излечению (исчезновению T. vaginalis в мазках), но и уменьшают вероятность полового пути заражения других лиц. Гель метронидазола не следует назначать, поскольку он эффективен только в случае </w:t>
      </w:r>
      <w:r w:rsidRPr="00775B23">
        <w:lastRenderedPageBreak/>
        <w:t xml:space="preserve">бактериального вагиноза. Это же касается и других местно применяемых препаратов, поскольку при таком применении не возможно достичь лечебной концентрации антибактериального средства (в том числе и метронидазола) во влагалище, уретре и железистой ткани, местах локализации T. vaginalis. А потому эффективность такого лечения трихомониаза, как правило, не превышает 50%.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Контроль эффективности лечения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Не обязателен для тех пациентов (независимо от пола), у которых исчезли проявления заболевания или для тех, у кого первоначально заболевание протекало бессимптомно. Остальным пациентом следует повторить диагностическое обследование (см. выше).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Что следует делать, если лечение не помогло?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В первую очередь следует исключить повторное реинфицирование (Все ли половые партнеры были пролечены?).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К сожалению, имеются штаммы T. vaginalis, чувствительность которых к метронидазолу снижена, а, следовательно, следует ожидать меньшую эффективность лечения. В случае неэффективности однократной дозы метронидазола (2 г), следует использовать альтернативный режим (см. выше). Если и этот режим не обеспечил выздоровление, еще одним возможным вариантом лечения является назначение той же ударной дозы (2 г) метронидазола один раз в день в течение 3-5 дней.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Если инфицирование T. vaginalis лабораторно подтверждено и после третьего курса терапии метронидазолом (при этом исключено повторное заражение), пациент нуждается в консультации специалиста и определении чувствительности микроорганизма к метронидазолу.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Что следует знать в период лечения?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До полного излечения пациента и его сексуального партнера (-ов) следует избегать половых контактов (профилактика повторного инфицирования).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Весь период лечения, а также следующие сутки после его окончания необходимо избегать приема алкоголя.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Если имеется аллергия на метронидазолу, следует провести десенсибилизирующее лечение, которое может назначить и оценить эффективность только специалист. 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Использование топических препаратов метронидазола во-первых, не позволяет избежать аллергических реакций, а во-вторых – менее эффективно (см. выше). </w:t>
      </w:r>
    </w:p>
    <w:p w:rsidR="003866B9" w:rsidRPr="007E4F85" w:rsidRDefault="003866B9" w:rsidP="003866B9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>Список литературы</w:t>
      </w:r>
    </w:p>
    <w:p w:rsidR="003866B9" w:rsidRDefault="003866B9" w:rsidP="003866B9">
      <w:pPr>
        <w:spacing w:before="120"/>
        <w:ind w:firstLine="567"/>
        <w:jc w:val="both"/>
      </w:pPr>
      <w:r w:rsidRPr="00775B23">
        <w:t xml:space="preserve">Для подготовки данной работы были использованы материалы с сайта </w:t>
      </w:r>
      <w:hyperlink r:id="rId4" w:history="1">
        <w:r w:rsidRPr="00775B23">
          <w:rPr>
            <w:rStyle w:val="a3"/>
          </w:rPr>
          <w:t>http://unimed-dnk.ru/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B9"/>
    <w:rsid w:val="00166715"/>
    <w:rsid w:val="0031418A"/>
    <w:rsid w:val="003866B9"/>
    <w:rsid w:val="005A2562"/>
    <w:rsid w:val="00775B23"/>
    <w:rsid w:val="007E4F8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6F66AB-76C2-406E-962F-8BF28E23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B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6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Company>Home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Tрихомониаз</dc:title>
  <dc:subject/>
  <dc:creator>Alena</dc:creator>
  <cp:keywords/>
  <dc:description/>
  <cp:lastModifiedBy>Igor Trofimov</cp:lastModifiedBy>
  <cp:revision>2</cp:revision>
  <dcterms:created xsi:type="dcterms:W3CDTF">2024-10-05T17:28:00Z</dcterms:created>
  <dcterms:modified xsi:type="dcterms:W3CDTF">2024-10-05T17:28:00Z</dcterms:modified>
</cp:coreProperties>
</file>