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5E05" w14:textId="77777777" w:rsidR="00353761" w:rsidRPr="005C179D" w:rsidRDefault="00353761" w:rsidP="005C179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Содержание</w:t>
      </w:r>
    </w:p>
    <w:p w14:paraId="55DEBEAE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Введение</w:t>
      </w:r>
    </w:p>
    <w:p w14:paraId="5D46036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Химическая структура цефалоспоринов</w:t>
      </w:r>
    </w:p>
    <w:p w14:paraId="61FCAF3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Механизм действия цефалоспоринов</w:t>
      </w:r>
    </w:p>
    <w:p w14:paraId="35DA273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Механизмы формирования резистентности к цефалоспоринам</w:t>
      </w:r>
    </w:p>
    <w:p w14:paraId="0D206F1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Классификация цефалоспоринов</w:t>
      </w:r>
    </w:p>
    <w:p w14:paraId="30515DC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Фармакология цефалоспоринов</w:t>
      </w:r>
    </w:p>
    <w:p w14:paraId="3C867DA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Цефалоспорины 1-го поколения</w:t>
      </w:r>
    </w:p>
    <w:p w14:paraId="0E8EF63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Цефалоспорины 2-го поколения</w:t>
      </w:r>
    </w:p>
    <w:p w14:paraId="1D8761B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Цефалоспорины 3-го поколения</w:t>
      </w:r>
    </w:p>
    <w:p w14:paraId="6DBC478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Цефалоспорины 4-го поколения</w:t>
      </w:r>
    </w:p>
    <w:p w14:paraId="6B10D9A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Побочные эффекты цефалоспоринов</w:t>
      </w:r>
    </w:p>
    <w:p w14:paraId="007B1D8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- Список используемой литературы</w:t>
      </w:r>
    </w:p>
    <w:p w14:paraId="0E27DA79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br w:type="page"/>
      </w:r>
      <w:r w:rsidRPr="005C179D">
        <w:rPr>
          <w:color w:val="auto"/>
          <w:sz w:val="24"/>
          <w:szCs w:val="24"/>
        </w:rPr>
        <w:lastRenderedPageBreak/>
        <w:t>Введение</w:t>
      </w:r>
    </w:p>
    <w:p w14:paraId="29F50A0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Создание и внедрение в клиническую практику антибиотиков класса цефалоспоринов явилось, безусловно, одним из важнейших событием в истории химиотерапии бактериальных инфекции. В настоящее время, очевидно, что по ряду важнейших параметров: спектру антиба</w:t>
      </w:r>
      <w:r w:rsidRPr="005C179D">
        <w:rPr>
          <w:color w:val="auto"/>
        </w:rPr>
        <w:t>к</w:t>
      </w:r>
      <w:r w:rsidRPr="005C179D">
        <w:rPr>
          <w:color w:val="auto"/>
        </w:rPr>
        <w:t>териального действия, фармакокинетике, безопасности и др., цефалоспорины превосходят а</w:t>
      </w:r>
      <w:r w:rsidRPr="005C179D">
        <w:rPr>
          <w:color w:val="auto"/>
        </w:rPr>
        <w:t>н</w:t>
      </w:r>
      <w:r w:rsidRPr="005C179D">
        <w:rPr>
          <w:color w:val="auto"/>
        </w:rPr>
        <w:t>тибиотики многих других классов, чем и объясняется их статус антибактериальных средств, наиболее шир</w:t>
      </w:r>
      <w:r w:rsidRPr="005C179D">
        <w:rPr>
          <w:color w:val="auto"/>
        </w:rPr>
        <w:t>о</w:t>
      </w:r>
      <w:r w:rsidRPr="005C179D">
        <w:rPr>
          <w:color w:val="auto"/>
        </w:rPr>
        <w:t>ко применяемых во многих странах мира.</w:t>
      </w:r>
    </w:p>
    <w:p w14:paraId="388FA5F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Рождение цефалоспоринов справедливо связывают с работами G.Brotzu, предположи</w:t>
      </w:r>
      <w:r w:rsidRPr="005C179D">
        <w:rPr>
          <w:color w:val="auto"/>
        </w:rPr>
        <w:t>в</w:t>
      </w:r>
      <w:r w:rsidRPr="005C179D">
        <w:rPr>
          <w:color w:val="auto"/>
        </w:rPr>
        <w:t>шего в начале 40-х годов, что периодическое самоочищение сточных вод в Сардинии обусло</w:t>
      </w:r>
      <w:r w:rsidRPr="005C179D">
        <w:rPr>
          <w:color w:val="auto"/>
        </w:rPr>
        <w:t>в</w:t>
      </w:r>
      <w:r w:rsidRPr="005C179D">
        <w:rPr>
          <w:color w:val="auto"/>
        </w:rPr>
        <w:t>лено инг</w:t>
      </w:r>
      <w:r w:rsidRPr="005C179D">
        <w:rPr>
          <w:color w:val="auto"/>
        </w:rPr>
        <w:t>и</w:t>
      </w:r>
      <w:r w:rsidRPr="005C179D">
        <w:rPr>
          <w:color w:val="auto"/>
        </w:rPr>
        <w:t xml:space="preserve">бирующей активностью особых микроорганизмов. В </w:t>
      </w:r>
      <w:smartTag w:uri="urn:schemas-microsoft-com:office:smarttags" w:element="metricconverter">
        <w:smartTagPr>
          <w:attr w:name="ProductID" w:val="1945 г"/>
        </w:smartTagPr>
        <w:r w:rsidRPr="005C179D">
          <w:rPr>
            <w:color w:val="auto"/>
          </w:rPr>
          <w:t>1945 г</w:t>
        </w:r>
      </w:smartTag>
      <w:r w:rsidRPr="005C179D">
        <w:rPr>
          <w:color w:val="auto"/>
        </w:rPr>
        <w:t>. ему удалось выделить гриб Cephalosporium acremonium (в настоящее время именуемый Acremonium chrysogenum), о</w:t>
      </w:r>
      <w:r w:rsidRPr="005C179D">
        <w:rPr>
          <w:color w:val="auto"/>
        </w:rPr>
        <w:t>б</w:t>
      </w:r>
      <w:r w:rsidRPr="005C179D">
        <w:rPr>
          <w:color w:val="auto"/>
        </w:rPr>
        <w:t xml:space="preserve">ладавший выраженной антибактериальной активностью по отношению к грамположительным и грамотрицательным микроорганизмам. Следующим этапом (с 1955 по </w:t>
      </w:r>
      <w:smartTag w:uri="urn:schemas-microsoft-com:office:smarttags" w:element="metricconverter">
        <w:smartTagPr>
          <w:attr w:name="ProductID" w:val="1962 г"/>
        </w:smartTagPr>
        <w:r w:rsidRPr="005C179D">
          <w:rPr>
            <w:color w:val="auto"/>
          </w:rPr>
          <w:t>1962 г</w:t>
        </w:r>
      </w:smartTag>
      <w:r w:rsidRPr="005C179D">
        <w:rPr>
          <w:color w:val="auto"/>
        </w:rPr>
        <w:t>.) явилось детал</w:t>
      </w:r>
      <w:r w:rsidRPr="005C179D">
        <w:rPr>
          <w:color w:val="auto"/>
        </w:rPr>
        <w:t>ь</w:t>
      </w:r>
      <w:r w:rsidRPr="005C179D">
        <w:rPr>
          <w:color w:val="auto"/>
        </w:rPr>
        <w:t>ное изучение С.acremonium рабочими группами H.Florey и E.P.Abraham. Из продуктов обмена в</w:t>
      </w:r>
      <w:r w:rsidRPr="005C179D">
        <w:rPr>
          <w:color w:val="auto"/>
        </w:rPr>
        <w:t>е</w:t>
      </w:r>
      <w:r w:rsidRPr="005C179D">
        <w:rPr>
          <w:color w:val="auto"/>
        </w:rPr>
        <w:t>ществ этого гриба удалось выделить бактерицидную субстанцию - цефалоспорин С, ставшую исходным веществом для получения 7-аминоцефалоспорановой кислоты - структурной основы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ринов.</w:t>
      </w:r>
    </w:p>
    <w:p w14:paraId="79DF0C5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5C179D">
          <w:rPr>
            <w:color w:val="auto"/>
          </w:rPr>
          <w:t>1962 г</w:t>
        </w:r>
      </w:smartTag>
      <w:r w:rsidRPr="005C179D">
        <w:rPr>
          <w:color w:val="auto"/>
        </w:rPr>
        <w:t>. в клиническую практику был введен первый антибиотик класса цефалоспор</w:t>
      </w:r>
      <w:r w:rsidRPr="005C179D">
        <w:rPr>
          <w:color w:val="auto"/>
        </w:rPr>
        <w:t>и</w:t>
      </w:r>
      <w:r w:rsidRPr="005C179D">
        <w:rPr>
          <w:color w:val="auto"/>
        </w:rPr>
        <w:t>нов - цефалоридин, однако широкое клиническое применение цефалоспоринов началось только в конце 70-х годов. В настоящее время насчитывается более 50 цефалоспоринов (рис. 1), поэт</w:t>
      </w:r>
      <w:r w:rsidRPr="005C179D">
        <w:rPr>
          <w:color w:val="auto"/>
        </w:rPr>
        <w:t>о</w:t>
      </w:r>
      <w:r w:rsidRPr="005C179D">
        <w:rPr>
          <w:color w:val="auto"/>
        </w:rPr>
        <w:t>му нет ничего удивительного в том, что врач испытывает немалые затруднения при выборе нужного препарата в соответствии с показаниями. В связи с этим целью настоящей лекции я</w:t>
      </w:r>
      <w:r w:rsidRPr="005C179D">
        <w:rPr>
          <w:color w:val="auto"/>
        </w:rPr>
        <w:t>в</w:t>
      </w:r>
      <w:r w:rsidRPr="005C179D">
        <w:rPr>
          <w:color w:val="auto"/>
        </w:rPr>
        <w:t>ляется объективная оценка возможностей цефалоспоринов в современной клинической практ</w:t>
      </w:r>
      <w:r w:rsidRPr="005C179D">
        <w:rPr>
          <w:color w:val="auto"/>
        </w:rPr>
        <w:t>и</w:t>
      </w:r>
      <w:r w:rsidRPr="005C179D">
        <w:rPr>
          <w:color w:val="auto"/>
        </w:rPr>
        <w:t xml:space="preserve">ке. </w:t>
      </w:r>
    </w:p>
    <w:p w14:paraId="7CE98E0A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6FB226D" w14:textId="5864D5C1" w:rsidR="00353761" w:rsidRPr="005C179D" w:rsidRDefault="00B65DFE" w:rsidP="005C179D">
      <w:pPr>
        <w:pStyle w:val="a4"/>
        <w:spacing w:before="0" w:beforeAutospacing="0" w:after="0" w:afterAutospacing="0"/>
        <w:jc w:val="center"/>
        <w:rPr>
          <w:color w:val="auto"/>
        </w:rPr>
      </w:pPr>
      <w:r w:rsidRPr="005C179D">
        <w:rPr>
          <w:noProof/>
          <w:color w:val="auto"/>
        </w:rPr>
        <w:drawing>
          <wp:anchor distT="0" distB="0" distL="0" distR="0" simplePos="0" relativeHeight="251656704" behindDoc="1" locked="0" layoutInCell="1" allowOverlap="0" wp14:anchorId="317D4D21" wp14:editId="0931D92A">
            <wp:simplePos x="0" y="0"/>
            <wp:positionH relativeFrom="column">
              <wp:posOffset>1257300</wp:posOffset>
            </wp:positionH>
            <wp:positionV relativeFrom="paragraph">
              <wp:posOffset>76200</wp:posOffset>
            </wp:positionV>
            <wp:extent cx="4038600" cy="5486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46EC4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6FA0D67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1E0E4BC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0BB3E29B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0F0913C7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A4866FF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76A43D31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15CC8AF9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2FC23D5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7DF7971D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1E6D3397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5E60EBAA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473DC15C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72FAFC7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B773876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57BDF888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DF46860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14550517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1CB11182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4FF96D03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ED7DC31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2A26FDF2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34E904F5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A6FEEE3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632C6A08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39ECA081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45D64869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48A4ABED" w14:textId="77777777" w:rsidR="00353761" w:rsidRPr="005C179D" w:rsidRDefault="00353761" w:rsidP="005C179D">
      <w:pPr>
        <w:pStyle w:val="a4"/>
        <w:spacing w:before="0" w:beforeAutospacing="0" w:after="0" w:afterAutospacing="0"/>
        <w:ind w:firstLine="567"/>
        <w:jc w:val="center"/>
        <w:rPr>
          <w:color w:val="auto"/>
        </w:rPr>
      </w:pPr>
    </w:p>
    <w:p w14:paraId="70647D62" w14:textId="77777777" w:rsidR="00353761" w:rsidRPr="005C179D" w:rsidRDefault="00353761" w:rsidP="005C179D">
      <w:pPr>
        <w:pStyle w:val="a4"/>
        <w:spacing w:before="0" w:beforeAutospacing="0" w:after="0" w:afterAutospacing="0"/>
        <w:jc w:val="center"/>
        <w:rPr>
          <w:color w:val="auto"/>
        </w:rPr>
      </w:pPr>
      <w:r w:rsidRPr="005C179D">
        <w:rPr>
          <w:color w:val="auto"/>
        </w:rPr>
        <w:lastRenderedPageBreak/>
        <w:t>Рис.1. "Древо" цефалоспоринов (по Periti, 1996)</w:t>
      </w:r>
    </w:p>
    <w:p w14:paraId="5A2B141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auto"/>
          <w:u w:val="single"/>
        </w:rPr>
      </w:pPr>
      <w:r w:rsidRPr="005C179D">
        <w:br w:type="page"/>
      </w:r>
      <w:r w:rsidRPr="005C179D">
        <w:rPr>
          <w:b/>
          <w:bCs/>
          <w:color w:val="auto"/>
          <w:u w:val="single"/>
        </w:rPr>
        <w:lastRenderedPageBreak/>
        <w:t>Химическая структура цефалоспоринов</w:t>
      </w:r>
    </w:p>
    <w:p w14:paraId="41AE50A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представляют собой бициклические соединения, состоящие из бета-лактамного и дигидротиазинового колец. Оба кольца и составляют 7-аминоцефалоспорановую к</w:t>
      </w:r>
      <w:r w:rsidRPr="005C179D">
        <w:rPr>
          <w:color w:val="auto"/>
        </w:rPr>
        <w:t>и</w:t>
      </w:r>
      <w:r w:rsidRPr="005C179D">
        <w:rPr>
          <w:color w:val="auto"/>
        </w:rPr>
        <w:t>слоту (7-АЦК) - общее ядро молекулы цефалоспоринов. При этом модификация химической структуры 7-АЦК сопровождается существенными изменениями свойств (антибактериальной а</w:t>
      </w:r>
      <w:r w:rsidRPr="005C179D">
        <w:rPr>
          <w:color w:val="auto"/>
        </w:rPr>
        <w:t>к</w:t>
      </w:r>
      <w:r w:rsidRPr="005C179D">
        <w:rPr>
          <w:color w:val="auto"/>
        </w:rPr>
        <w:t>тивности, параметров фармакокинетики и пр.) соответствующего соединения (рис. 2).</w:t>
      </w:r>
    </w:p>
    <w:p w14:paraId="57590D81" w14:textId="1B043635" w:rsidR="00353761" w:rsidRPr="005C179D" w:rsidRDefault="00B65DFE" w:rsidP="005C179D">
      <w:pPr>
        <w:pStyle w:val="a4"/>
        <w:spacing w:before="0" w:beforeAutospacing="0" w:after="0" w:afterAutospacing="0"/>
        <w:jc w:val="center"/>
        <w:rPr>
          <w:color w:val="auto"/>
        </w:rPr>
      </w:pPr>
      <w:r w:rsidRPr="005C179D">
        <w:rPr>
          <w:noProof/>
        </w:rPr>
        <w:drawing>
          <wp:anchor distT="0" distB="0" distL="114300" distR="114300" simplePos="0" relativeHeight="251657728" behindDoc="0" locked="0" layoutInCell="1" allowOverlap="1" wp14:anchorId="2F04A6DB" wp14:editId="2B73F82A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5715000" cy="369824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61" w:rsidRPr="005C179D">
        <w:rPr>
          <w:color w:val="auto"/>
        </w:rPr>
        <w:t>Рис.2. Цефалоспорины: связь между химической структурой и эффе</w:t>
      </w:r>
      <w:r w:rsidR="00353761" w:rsidRPr="005C179D">
        <w:rPr>
          <w:color w:val="auto"/>
        </w:rPr>
        <w:t>к</w:t>
      </w:r>
      <w:r w:rsidR="00353761" w:rsidRPr="005C179D">
        <w:rPr>
          <w:color w:val="auto"/>
        </w:rPr>
        <w:t>том</w:t>
      </w:r>
    </w:p>
    <w:p w14:paraId="0E67EADA" w14:textId="77777777" w:rsidR="00353761" w:rsidRPr="005C179D" w:rsidRDefault="00353761" w:rsidP="005C179D">
      <w:pPr>
        <w:pStyle w:val="a4"/>
        <w:spacing w:before="0" w:beforeAutospacing="0" w:after="0" w:afterAutospacing="0"/>
        <w:jc w:val="center"/>
        <w:rPr>
          <w:color w:val="auto"/>
          <w:lang w:val="en-US"/>
        </w:rPr>
      </w:pPr>
      <w:r w:rsidRPr="005C179D">
        <w:rPr>
          <w:color w:val="auto"/>
          <w:lang w:val="en-US"/>
        </w:rPr>
        <w:t>(</w:t>
      </w:r>
      <w:r w:rsidRPr="005C179D">
        <w:rPr>
          <w:color w:val="auto"/>
        </w:rPr>
        <w:t>по</w:t>
      </w:r>
      <w:r w:rsidRPr="005C179D">
        <w:rPr>
          <w:color w:val="auto"/>
          <w:lang w:val="en-US"/>
        </w:rPr>
        <w:t xml:space="preserve"> W.Graninger, 1994)</w:t>
      </w:r>
    </w:p>
    <w:p w14:paraId="43A970A2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Механизм действия цефалоспор</w:t>
      </w:r>
      <w:r w:rsidRPr="005C179D">
        <w:rPr>
          <w:color w:val="auto"/>
          <w:sz w:val="24"/>
          <w:szCs w:val="24"/>
        </w:rPr>
        <w:t>и</w:t>
      </w:r>
      <w:r w:rsidRPr="005C179D">
        <w:rPr>
          <w:color w:val="auto"/>
          <w:sz w:val="24"/>
          <w:szCs w:val="24"/>
        </w:rPr>
        <w:t>нов</w:t>
      </w:r>
    </w:p>
    <w:p w14:paraId="5652BC9C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Антибактериальная активность цефалоспоринов, как и других бета-лактамных антиби</w:t>
      </w:r>
      <w:r w:rsidRPr="005C179D">
        <w:rPr>
          <w:color w:val="auto"/>
        </w:rPr>
        <w:t>о</w:t>
      </w:r>
      <w:r w:rsidRPr="005C179D">
        <w:rPr>
          <w:color w:val="auto"/>
        </w:rPr>
        <w:t>тиков, по крайней мере частично, обусловлена торможением синтеза пептидогликана - стру</w:t>
      </w:r>
      <w:r w:rsidRPr="005C179D">
        <w:rPr>
          <w:color w:val="auto"/>
        </w:rPr>
        <w:t>к</w:t>
      </w:r>
      <w:r w:rsidRPr="005C179D">
        <w:rPr>
          <w:color w:val="auto"/>
        </w:rPr>
        <w:t>турной основы микробной стенки. Пептидогликаны представляют собой длинные полисах</w:t>
      </w:r>
      <w:r w:rsidRPr="005C179D">
        <w:rPr>
          <w:color w:val="auto"/>
        </w:rPr>
        <w:t>а</w:t>
      </w:r>
      <w:r w:rsidRPr="005C179D">
        <w:rPr>
          <w:color w:val="auto"/>
        </w:rPr>
        <w:t>ридные цепи со своеобразной сетчатой пространственной конформацией, в которых чередую</w:t>
      </w:r>
      <w:r w:rsidRPr="005C179D">
        <w:rPr>
          <w:color w:val="auto"/>
        </w:rPr>
        <w:t>т</w:t>
      </w:r>
      <w:r w:rsidRPr="005C179D">
        <w:rPr>
          <w:color w:val="auto"/>
        </w:rPr>
        <w:t>ся остатки N-ацетилглюкозамина (NAG) и N-ацетилмураминовой кислоты (NAM). NAG- и NAM-пентапептидные остатки пептидогликанов синтезируются в цитоплазме микробной кле</w:t>
      </w:r>
      <w:r w:rsidRPr="005C179D">
        <w:rPr>
          <w:color w:val="auto"/>
        </w:rPr>
        <w:t>т</w:t>
      </w:r>
      <w:r w:rsidRPr="005C179D">
        <w:rPr>
          <w:color w:val="auto"/>
        </w:rPr>
        <w:t>ки и транспортируются через цитоплазматическую мембрану. Далее эти остатки встраиваются в существующую пептидогликанную сеть (в процессе роста и деления клетки) с участием ра</w:t>
      </w:r>
      <w:r w:rsidRPr="005C179D">
        <w:rPr>
          <w:color w:val="auto"/>
        </w:rPr>
        <w:t>з</w:t>
      </w:r>
      <w:r w:rsidRPr="005C179D">
        <w:rPr>
          <w:color w:val="auto"/>
        </w:rPr>
        <w:t>личных энзимов - транспептидаз, карбоксипептидаз, эндопептидаз. Собственно эти энзимы, н</w:t>
      </w:r>
      <w:r w:rsidRPr="005C179D">
        <w:rPr>
          <w:color w:val="auto"/>
        </w:rPr>
        <w:t>а</w:t>
      </w:r>
      <w:r w:rsidRPr="005C179D">
        <w:rPr>
          <w:color w:val="auto"/>
        </w:rPr>
        <w:t>ходящиеся в цитоплазматической мембране, являются местом реализации антибактериальной активности (мишенями) бета-лактамных антибиотиков, в том числе цефалоспоринов; они пол</w:t>
      </w:r>
      <w:r w:rsidRPr="005C179D">
        <w:rPr>
          <w:color w:val="auto"/>
        </w:rPr>
        <w:t>у</w:t>
      </w:r>
      <w:r w:rsidRPr="005C179D">
        <w:rPr>
          <w:color w:val="auto"/>
        </w:rPr>
        <w:t>чили название "п</w:t>
      </w:r>
      <w:r w:rsidRPr="005C179D">
        <w:rPr>
          <w:color w:val="auto"/>
        </w:rPr>
        <w:t>е</w:t>
      </w:r>
      <w:r w:rsidRPr="005C179D">
        <w:rPr>
          <w:color w:val="auto"/>
        </w:rPr>
        <w:t>нициллинсвязывающие белки" (penicillin-binding proteins - РВР). В результате образования "дл</w:t>
      </w:r>
      <w:r w:rsidRPr="005C179D">
        <w:rPr>
          <w:color w:val="auto"/>
        </w:rPr>
        <w:t>и</w:t>
      </w:r>
      <w:r w:rsidRPr="005C179D">
        <w:rPr>
          <w:color w:val="auto"/>
        </w:rPr>
        <w:t>тельной" ковалентной связи бета-лактамного антибиотика и РВР последние инактивируются. При этом эффект назначаемого бета-лактамного антибиотика зависит от того, какие РВР инактивир</w:t>
      </w:r>
      <w:r w:rsidRPr="005C179D">
        <w:rPr>
          <w:color w:val="auto"/>
        </w:rPr>
        <w:t>у</w:t>
      </w:r>
      <w:r w:rsidRPr="005C179D">
        <w:rPr>
          <w:color w:val="auto"/>
        </w:rPr>
        <w:t>ются и какую роль они играют в синтезе пептидогликана и выживании микробной клетки. Важно также подчеркнуть, что бактерицидный эффект цефалоспоринов ре</w:t>
      </w:r>
      <w:r w:rsidRPr="005C179D">
        <w:rPr>
          <w:color w:val="auto"/>
        </w:rPr>
        <w:t>а</w:t>
      </w:r>
      <w:r w:rsidRPr="005C179D">
        <w:rPr>
          <w:color w:val="auto"/>
        </w:rPr>
        <w:t>лизуется только в процессе роста и размножения микроорганизмов, тогда как "покоящиеся" клетки неуязвимы для действия антибиотиков.</w:t>
      </w:r>
    </w:p>
    <w:p w14:paraId="3F1A8AA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auto"/>
          <w:u w:val="single"/>
        </w:rPr>
      </w:pPr>
      <w:r w:rsidRPr="005C179D">
        <w:br w:type="page"/>
      </w:r>
      <w:r w:rsidRPr="005C179D">
        <w:rPr>
          <w:b/>
          <w:bCs/>
          <w:color w:val="auto"/>
          <w:u w:val="single"/>
        </w:rPr>
        <w:lastRenderedPageBreak/>
        <w:t>Механизмы формирования резистентности к цефалоспоринам</w:t>
      </w:r>
    </w:p>
    <w:p w14:paraId="78453A2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Устойчивость микроорганизмов к действию цефалоспоринов может быть связана с о</w:t>
      </w:r>
      <w:r w:rsidRPr="005C179D">
        <w:rPr>
          <w:color w:val="auto"/>
        </w:rPr>
        <w:t>д</w:t>
      </w:r>
      <w:r w:rsidRPr="005C179D">
        <w:rPr>
          <w:color w:val="auto"/>
        </w:rPr>
        <w:t>ним из следующих механизмов: а) видоизменением (модификация) РВР со снижением аффи</w:t>
      </w:r>
      <w:r w:rsidRPr="005C179D">
        <w:rPr>
          <w:color w:val="auto"/>
        </w:rPr>
        <w:t>н</w:t>
      </w:r>
      <w:r w:rsidRPr="005C179D">
        <w:rPr>
          <w:color w:val="auto"/>
        </w:rPr>
        <w:t>ности (сро</w:t>
      </w:r>
      <w:r w:rsidRPr="005C179D">
        <w:rPr>
          <w:color w:val="auto"/>
        </w:rPr>
        <w:t>д</w:t>
      </w:r>
      <w:r w:rsidRPr="005C179D">
        <w:rPr>
          <w:color w:val="auto"/>
        </w:rPr>
        <w:t>ства) к ним цефалоспоринов; б) гидролизной инактивацией антибиотика (бета-лактамазами); в) нарушением проницаемости внешних структур микробной клетки для ант</w:t>
      </w:r>
      <w:r w:rsidRPr="005C179D">
        <w:rPr>
          <w:color w:val="auto"/>
        </w:rPr>
        <w:t>и</w:t>
      </w:r>
      <w:r w:rsidRPr="005C179D">
        <w:rPr>
          <w:color w:val="auto"/>
        </w:rPr>
        <w:t>биотика и затруднен</w:t>
      </w:r>
      <w:r w:rsidRPr="005C179D">
        <w:rPr>
          <w:color w:val="auto"/>
        </w:rPr>
        <w:t>и</w:t>
      </w:r>
      <w:r w:rsidRPr="005C179D">
        <w:rPr>
          <w:color w:val="auto"/>
        </w:rPr>
        <w:t>ем его связывания с "мишенью" - РВР.</w:t>
      </w:r>
    </w:p>
    <w:p w14:paraId="12D4A0B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У грамположительных микроорганизмов цитоплазматическая мембрана относительно порозна и непосредственно прилежит к пептидогликанному матриксу, с связи с чем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рины достаточно легко достигают РВР. В противоположность этому, наружная мембрана гр</w:t>
      </w:r>
      <w:r w:rsidRPr="005C179D">
        <w:rPr>
          <w:color w:val="auto"/>
        </w:rPr>
        <w:t>а</w:t>
      </w:r>
      <w:r w:rsidRPr="005C179D">
        <w:rPr>
          <w:color w:val="auto"/>
        </w:rPr>
        <w:t>мотриц</w:t>
      </w:r>
      <w:r w:rsidRPr="005C179D">
        <w:rPr>
          <w:color w:val="auto"/>
        </w:rPr>
        <w:t>а</w:t>
      </w:r>
      <w:r w:rsidRPr="005C179D">
        <w:rPr>
          <w:color w:val="auto"/>
        </w:rPr>
        <w:t>тельных микроорганизмов имеет существенно боле% сложную "конструкцию": состоит из липидов, полисахаридов и белков, что является препятствием для проникновения цефало</w:t>
      </w:r>
      <w:r w:rsidRPr="005C179D">
        <w:rPr>
          <w:color w:val="auto"/>
        </w:rPr>
        <w:t>с</w:t>
      </w:r>
      <w:r w:rsidRPr="005C179D">
        <w:rPr>
          <w:color w:val="auto"/>
        </w:rPr>
        <w:t>поринов в периплазматическое пространство микробной клетки (рис. 3). Цефалоспорины "пр</w:t>
      </w:r>
      <w:r w:rsidRPr="005C179D">
        <w:rPr>
          <w:color w:val="auto"/>
        </w:rPr>
        <w:t>о</w:t>
      </w:r>
      <w:r w:rsidRPr="005C179D">
        <w:rPr>
          <w:color w:val="auto"/>
        </w:rPr>
        <w:t>ходят" сквозь наружную мембрану микробной клетки через так называемые пориновые каналы. В связи с этим, очевидно, уменьшение проницаемости пориновых каналов может привести к формированию а</w:t>
      </w:r>
      <w:r w:rsidRPr="005C179D">
        <w:rPr>
          <w:color w:val="auto"/>
        </w:rPr>
        <w:t>н</w:t>
      </w:r>
      <w:r w:rsidRPr="005C179D">
        <w:rPr>
          <w:color w:val="auto"/>
        </w:rPr>
        <w:t>тибиотикорезистентности.</w:t>
      </w:r>
    </w:p>
    <w:p w14:paraId="02266F51" w14:textId="77777777" w:rsidR="00353761" w:rsidRPr="005C179D" w:rsidRDefault="00353761" w:rsidP="005C179D">
      <w:pPr>
        <w:ind w:firstLine="567"/>
        <w:jc w:val="both"/>
      </w:pPr>
    </w:p>
    <w:p w14:paraId="178919F2" w14:textId="2519499D" w:rsidR="00353761" w:rsidRPr="005C179D" w:rsidRDefault="00B65DFE" w:rsidP="005C179D">
      <w:pPr>
        <w:ind w:firstLine="567"/>
        <w:jc w:val="both"/>
      </w:pPr>
      <w:r w:rsidRPr="005C179D">
        <w:rPr>
          <w:noProof/>
        </w:rPr>
        <w:drawing>
          <wp:anchor distT="0" distB="0" distL="114300" distR="114300" simplePos="0" relativeHeight="251658752" behindDoc="0" locked="0" layoutInCell="1" allowOverlap="1" wp14:anchorId="6081FE6B" wp14:editId="42E9F999">
            <wp:simplePos x="0" y="0"/>
            <wp:positionH relativeFrom="column">
              <wp:posOffset>1257300</wp:posOffset>
            </wp:positionH>
            <wp:positionV relativeFrom="paragraph">
              <wp:posOffset>38100</wp:posOffset>
            </wp:positionV>
            <wp:extent cx="4106545" cy="25469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51025" w14:textId="77777777" w:rsidR="00353761" w:rsidRPr="005C179D" w:rsidRDefault="00353761" w:rsidP="005C179D">
      <w:pPr>
        <w:ind w:firstLine="567"/>
        <w:jc w:val="both"/>
      </w:pPr>
    </w:p>
    <w:p w14:paraId="1A38FA8A" w14:textId="77777777" w:rsidR="00353761" w:rsidRPr="005C179D" w:rsidRDefault="00353761" w:rsidP="005C179D">
      <w:pPr>
        <w:ind w:firstLine="567"/>
        <w:jc w:val="both"/>
      </w:pPr>
    </w:p>
    <w:p w14:paraId="16F0423A" w14:textId="77777777" w:rsidR="00353761" w:rsidRPr="005C179D" w:rsidRDefault="00353761" w:rsidP="005C179D">
      <w:pPr>
        <w:ind w:firstLine="567"/>
        <w:jc w:val="both"/>
      </w:pPr>
    </w:p>
    <w:p w14:paraId="1A295721" w14:textId="77777777" w:rsidR="00353761" w:rsidRPr="005C179D" w:rsidRDefault="00353761" w:rsidP="005C179D">
      <w:pPr>
        <w:ind w:firstLine="567"/>
        <w:jc w:val="both"/>
      </w:pPr>
    </w:p>
    <w:p w14:paraId="3F005F56" w14:textId="77777777" w:rsidR="00353761" w:rsidRPr="005C179D" w:rsidRDefault="00353761" w:rsidP="005C179D">
      <w:pPr>
        <w:ind w:firstLine="567"/>
        <w:jc w:val="both"/>
      </w:pPr>
    </w:p>
    <w:p w14:paraId="0C5631A0" w14:textId="77777777" w:rsidR="00353761" w:rsidRPr="005C179D" w:rsidRDefault="00353761" w:rsidP="005C179D">
      <w:pPr>
        <w:ind w:firstLine="567"/>
        <w:jc w:val="both"/>
      </w:pPr>
    </w:p>
    <w:p w14:paraId="61BA7042" w14:textId="77777777" w:rsidR="00353761" w:rsidRPr="005C179D" w:rsidRDefault="00353761" w:rsidP="005C179D">
      <w:pPr>
        <w:ind w:firstLine="567"/>
        <w:jc w:val="both"/>
      </w:pPr>
    </w:p>
    <w:p w14:paraId="48718977" w14:textId="77777777" w:rsidR="00353761" w:rsidRPr="005C179D" w:rsidRDefault="00353761" w:rsidP="005C179D">
      <w:pPr>
        <w:ind w:firstLine="567"/>
        <w:jc w:val="both"/>
      </w:pPr>
    </w:p>
    <w:p w14:paraId="46B36CE0" w14:textId="77777777" w:rsidR="00353761" w:rsidRPr="005C179D" w:rsidRDefault="00353761" w:rsidP="005C179D">
      <w:pPr>
        <w:ind w:firstLine="567"/>
        <w:jc w:val="both"/>
      </w:pPr>
    </w:p>
    <w:p w14:paraId="6C64B4A0" w14:textId="77777777" w:rsidR="00353761" w:rsidRPr="005C179D" w:rsidRDefault="00353761" w:rsidP="005C179D">
      <w:pPr>
        <w:ind w:firstLine="567"/>
        <w:jc w:val="both"/>
      </w:pPr>
    </w:p>
    <w:p w14:paraId="6E724380" w14:textId="77777777" w:rsidR="00353761" w:rsidRPr="005C179D" w:rsidRDefault="00353761" w:rsidP="005C179D">
      <w:pPr>
        <w:ind w:firstLine="567"/>
        <w:jc w:val="both"/>
      </w:pPr>
    </w:p>
    <w:p w14:paraId="30947C90" w14:textId="77777777" w:rsidR="00353761" w:rsidRPr="005C179D" w:rsidRDefault="00353761" w:rsidP="005C179D">
      <w:pPr>
        <w:ind w:firstLine="567"/>
        <w:jc w:val="both"/>
      </w:pPr>
    </w:p>
    <w:p w14:paraId="4B7B6BEA" w14:textId="77777777" w:rsidR="00353761" w:rsidRPr="005C179D" w:rsidRDefault="00353761" w:rsidP="005C179D">
      <w:pPr>
        <w:ind w:firstLine="567"/>
        <w:jc w:val="both"/>
      </w:pPr>
    </w:p>
    <w:p w14:paraId="58E7D469" w14:textId="77777777" w:rsidR="00353761" w:rsidRPr="005C179D" w:rsidRDefault="00353761" w:rsidP="005C179D">
      <w:pPr>
        <w:ind w:firstLine="567"/>
        <w:jc w:val="both"/>
      </w:pPr>
    </w:p>
    <w:p w14:paraId="50CCA945" w14:textId="77777777" w:rsidR="00353761" w:rsidRPr="005C179D" w:rsidRDefault="00353761" w:rsidP="005C179D">
      <w:pPr>
        <w:ind w:firstLine="567"/>
        <w:jc w:val="both"/>
      </w:pPr>
    </w:p>
    <w:p w14:paraId="56868FD6" w14:textId="77777777" w:rsidR="00353761" w:rsidRPr="005C179D" w:rsidRDefault="00353761" w:rsidP="005C179D">
      <w:pPr>
        <w:ind w:firstLine="567"/>
        <w:jc w:val="both"/>
      </w:pPr>
    </w:p>
    <w:p w14:paraId="0348E16F" w14:textId="77777777" w:rsidR="00353761" w:rsidRPr="005C179D" w:rsidRDefault="00353761" w:rsidP="005C179D">
      <w:pPr>
        <w:ind w:firstLine="567"/>
        <w:jc w:val="both"/>
      </w:pPr>
    </w:p>
    <w:p w14:paraId="1DFD06E4" w14:textId="77777777" w:rsidR="00353761" w:rsidRPr="005C179D" w:rsidRDefault="00353761" w:rsidP="005C179D">
      <w:pPr>
        <w:ind w:firstLine="709"/>
        <w:jc w:val="both"/>
      </w:pPr>
      <w:r w:rsidRPr="005C179D">
        <w:t>Рис.3. Схема строения бактериальной стенки грамотрицательных микроорганизмов</w:t>
      </w:r>
    </w:p>
    <w:p w14:paraId="0EFE08B7" w14:textId="77777777" w:rsidR="00353761" w:rsidRPr="005C179D" w:rsidRDefault="00353761" w:rsidP="005C179D">
      <w:pPr>
        <w:ind w:firstLine="709"/>
        <w:jc w:val="both"/>
        <w:rPr>
          <w:lang w:val="en-US"/>
        </w:rPr>
      </w:pPr>
      <w:r w:rsidRPr="005C179D">
        <w:rPr>
          <w:lang w:val="en-US"/>
        </w:rPr>
        <w:t>(</w:t>
      </w:r>
      <w:r w:rsidRPr="005C179D">
        <w:t>по</w:t>
      </w:r>
      <w:r w:rsidRPr="005C179D">
        <w:rPr>
          <w:lang w:val="en-US"/>
        </w:rPr>
        <w:t xml:space="preserve"> P.A.James, 1996)</w:t>
      </w:r>
    </w:p>
    <w:p w14:paraId="42A0FB3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Снижение сродства РВР к бета-лактамным антибиотикам рассматривают как ведущий механизм формирования резистентности Neisseria gonorrhea и Streptococcus pneumoniae к пен</w:t>
      </w:r>
      <w:r w:rsidRPr="005C179D">
        <w:rPr>
          <w:color w:val="auto"/>
        </w:rPr>
        <w:t>и</w:t>
      </w:r>
      <w:r w:rsidRPr="005C179D">
        <w:rPr>
          <w:color w:val="auto"/>
        </w:rPr>
        <w:t>циллину. Метициллинрезистентные штаммы Staphylococcus aureus (MRSA) продуцируют РВР2 (РВР2а), которые характеризуются значительным снижением аффинности к пенициллиназар</w:t>
      </w:r>
      <w:r w:rsidRPr="005C179D">
        <w:rPr>
          <w:color w:val="auto"/>
        </w:rPr>
        <w:t>е</w:t>
      </w:r>
      <w:r w:rsidRPr="005C179D">
        <w:rPr>
          <w:color w:val="auto"/>
        </w:rPr>
        <w:t>зистентным п</w:t>
      </w:r>
      <w:r w:rsidRPr="005C179D">
        <w:rPr>
          <w:color w:val="auto"/>
        </w:rPr>
        <w:t>е</w:t>
      </w:r>
      <w:r w:rsidRPr="005C179D">
        <w:rPr>
          <w:color w:val="auto"/>
        </w:rPr>
        <w:t>нициллинам и цефалоспоринам. Способность этих "новых" РВР2а к замещению эссенциальных РВР (с более высоким сродством к бета-лактамам) в конце концов, приводит к формированию у</w:t>
      </w:r>
      <w:r w:rsidRPr="005C179D">
        <w:rPr>
          <w:color w:val="auto"/>
        </w:rPr>
        <w:t>с</w:t>
      </w:r>
      <w:r w:rsidRPr="005C179D">
        <w:rPr>
          <w:color w:val="auto"/>
        </w:rPr>
        <w:t>тойчивости MRSA ко всем цефалоспоринам.</w:t>
      </w:r>
    </w:p>
    <w:p w14:paraId="34D269A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Однако объективно наиболее клинически значимым механизмом развития устойчивости грамотрицательных бактерий к цефалоспоринам является продукция бета-лактамаз. Эти ина</w:t>
      </w:r>
      <w:r w:rsidRPr="005C179D">
        <w:rPr>
          <w:color w:val="auto"/>
        </w:rPr>
        <w:t>к</w:t>
      </w:r>
      <w:r w:rsidRPr="005C179D">
        <w:rPr>
          <w:color w:val="auto"/>
        </w:rPr>
        <w:t>тивирующие антибиотики энзимы кодируются хромосомами или плазмидами (плазмиды - фрагме</w:t>
      </w:r>
      <w:r w:rsidRPr="005C179D">
        <w:rPr>
          <w:color w:val="auto"/>
        </w:rPr>
        <w:t>н</w:t>
      </w:r>
      <w:r w:rsidRPr="005C179D">
        <w:rPr>
          <w:color w:val="auto"/>
        </w:rPr>
        <w:t>ты внехромосомной ДНК, которые размножаются внутри бактерий). Бета-лактамазы широко ра</w:t>
      </w:r>
      <w:r w:rsidRPr="005C179D">
        <w:rPr>
          <w:color w:val="auto"/>
        </w:rPr>
        <w:t>с</w:t>
      </w:r>
      <w:r w:rsidRPr="005C179D">
        <w:rPr>
          <w:color w:val="auto"/>
        </w:rPr>
        <w:t>пространены среди грамотрицательных микроорганизмов, а также продуцируются рядом грамп</w:t>
      </w:r>
      <w:r w:rsidRPr="005C179D">
        <w:rPr>
          <w:color w:val="auto"/>
        </w:rPr>
        <w:t>о</w:t>
      </w:r>
      <w:r w:rsidRPr="005C179D">
        <w:rPr>
          <w:color w:val="auto"/>
        </w:rPr>
        <w:t>ложительных бактерий (стафилококки). Связывание бета-лактамазы с бета-лактамным антибиот</w:t>
      </w:r>
      <w:r w:rsidRPr="005C179D">
        <w:rPr>
          <w:color w:val="auto"/>
        </w:rPr>
        <w:t>и</w:t>
      </w:r>
      <w:r w:rsidRPr="005C179D">
        <w:rPr>
          <w:color w:val="auto"/>
        </w:rPr>
        <w:t>ком катализирует гидролиз "критической" аминной связи лактамного кольца, что и приводит к инактивации антибиотика.</w:t>
      </w:r>
    </w:p>
    <w:p w14:paraId="072C5BD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Грамположительные микроорганизмы высвобождают бета-лактамазы непосредственно в окружающее их внеклеточное пространство. При этом известно, что большинство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 xml:space="preserve">ринов (за исключением, пожалуй, цефалоридина) достаточно устойчиво к гидролизующему </w:t>
      </w:r>
      <w:r w:rsidRPr="005C179D">
        <w:rPr>
          <w:color w:val="auto"/>
        </w:rPr>
        <w:lastRenderedPageBreak/>
        <w:t>действию стафилококковой бета-лактамазы. В связи с этим антистафилококковая активность цефалоспор</w:t>
      </w:r>
      <w:r w:rsidRPr="005C179D">
        <w:rPr>
          <w:color w:val="auto"/>
        </w:rPr>
        <w:t>и</w:t>
      </w:r>
      <w:r w:rsidRPr="005C179D">
        <w:rPr>
          <w:color w:val="auto"/>
        </w:rPr>
        <w:t>нов зависит главным образом от их сродства к эссенциальным стафилококковым РВР. Так, напр</w:t>
      </w:r>
      <w:r w:rsidRPr="005C179D">
        <w:rPr>
          <w:color w:val="auto"/>
        </w:rPr>
        <w:t>и</w:t>
      </w:r>
      <w:r w:rsidRPr="005C179D">
        <w:rPr>
          <w:color w:val="auto"/>
        </w:rPr>
        <w:t>мер, цефамицины и цефтазидим, являясь достаточно бета-лактамазостабильными, демонстрируют низкую антистафилококковую активность вследствие низкого сродства к РВР S.aureus.</w:t>
      </w:r>
    </w:p>
    <w:p w14:paraId="4BCB88E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Бета-лактамазная резистентность грамотрицательных бактерий к цефалоспоринам имеет более сложный характер. У этих микроорганизмов бета-лактамазы "заключены" в периплазм</w:t>
      </w:r>
      <w:r w:rsidRPr="005C179D">
        <w:rPr>
          <w:color w:val="auto"/>
        </w:rPr>
        <w:t>а</w:t>
      </w:r>
      <w:r w:rsidRPr="005C179D">
        <w:rPr>
          <w:color w:val="auto"/>
        </w:rPr>
        <w:t>тическом пространстве. Важно подчеркнуть, что повышение продукции бета-лактамаз или н</w:t>
      </w:r>
      <w:r w:rsidRPr="005C179D">
        <w:rPr>
          <w:color w:val="auto"/>
        </w:rPr>
        <w:t>о</w:t>
      </w:r>
      <w:r w:rsidRPr="005C179D">
        <w:rPr>
          <w:color w:val="auto"/>
        </w:rPr>
        <w:t>вообр</w:t>
      </w:r>
      <w:r w:rsidRPr="005C179D">
        <w:rPr>
          <w:color w:val="auto"/>
        </w:rPr>
        <w:t>а</w:t>
      </w:r>
      <w:r w:rsidRPr="005C179D">
        <w:rPr>
          <w:color w:val="auto"/>
        </w:rPr>
        <w:t>зование энзимов с повышенным сродством к антибиотику является основной причиной распространения цефалоспоринрезистентных штаммов среди грамотрицательных микроорг</w:t>
      </w:r>
      <w:r w:rsidRPr="005C179D">
        <w:rPr>
          <w:color w:val="auto"/>
        </w:rPr>
        <w:t>а</w:t>
      </w:r>
      <w:r w:rsidRPr="005C179D">
        <w:rPr>
          <w:color w:val="auto"/>
        </w:rPr>
        <w:t>низмов. При этом высокий уровень продукции TEM-I или SHV-I*(Чаще всего в названиях бета-лактамаз учитываются основные субстраты-антибиотики, фамилии исследователей или пацие</w:t>
      </w:r>
      <w:r w:rsidRPr="005C179D">
        <w:rPr>
          <w:color w:val="auto"/>
        </w:rPr>
        <w:t>н</w:t>
      </w:r>
      <w:r w:rsidRPr="005C179D">
        <w:rPr>
          <w:color w:val="auto"/>
        </w:rPr>
        <w:t>тов. Так, напр</w:t>
      </w:r>
      <w:r w:rsidRPr="005C179D">
        <w:rPr>
          <w:color w:val="auto"/>
        </w:rPr>
        <w:t>и</w:t>
      </w:r>
      <w:r w:rsidRPr="005C179D">
        <w:rPr>
          <w:color w:val="auto"/>
        </w:rPr>
        <w:t>мер, термин "ТЕМ" стали использовать для обозначения плазмидных энзимов, первоначально в</w:t>
      </w:r>
      <w:r w:rsidRPr="005C179D">
        <w:rPr>
          <w:color w:val="auto"/>
        </w:rPr>
        <w:t>ы</w:t>
      </w:r>
      <w:r w:rsidRPr="005C179D">
        <w:rPr>
          <w:color w:val="auto"/>
        </w:rPr>
        <w:t>деленных из микроорганизмов у больного Temorina, a SHV - англоязычная аббревиатура термина "сульфгидрильная вариабельность”), двух наиболее часто встречающи</w:t>
      </w:r>
      <w:r w:rsidRPr="005C179D">
        <w:rPr>
          <w:color w:val="auto"/>
        </w:rPr>
        <w:t>х</w:t>
      </w:r>
      <w:r w:rsidRPr="005C179D">
        <w:rPr>
          <w:color w:val="auto"/>
        </w:rPr>
        <w:t>ся плазмидассоцируемых бета-лактамаз бактерий семейства Enterobacteriaceae (Escherichia coli, Salmonella spp., Shigella spp., Klebsiella spp., Enterobacter spp. и др.), ассоциируется с формир</w:t>
      </w:r>
      <w:r w:rsidRPr="005C179D">
        <w:rPr>
          <w:color w:val="auto"/>
        </w:rPr>
        <w:t>о</w:t>
      </w:r>
      <w:r w:rsidRPr="005C179D">
        <w:rPr>
          <w:color w:val="auto"/>
        </w:rPr>
        <w:t>ванием резистентности не только к пенициллинам - ингибиторам бета-лактамаз, но и к цефал</w:t>
      </w:r>
      <w:r w:rsidRPr="005C179D">
        <w:rPr>
          <w:color w:val="auto"/>
        </w:rPr>
        <w:t>о</w:t>
      </w:r>
      <w:r w:rsidRPr="005C179D">
        <w:rPr>
          <w:color w:val="auto"/>
        </w:rPr>
        <w:t>тину, цефамандолу, цефоперазону.</w:t>
      </w:r>
    </w:p>
    <w:p w14:paraId="5A505BF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Отдельные представители семейства Enterobacteriaceae (Enterobacter spp., Citrobacter freundii, Morganella morganii, Serratia marcescens, Providencia spp.), а также Pseudomonas aeruginosa демонстрируют способность к продукции "индуцибельных" хромосомных цефало</w:t>
      </w:r>
      <w:r w:rsidRPr="005C179D">
        <w:rPr>
          <w:color w:val="auto"/>
        </w:rPr>
        <w:t>с</w:t>
      </w:r>
      <w:r w:rsidRPr="005C179D">
        <w:rPr>
          <w:color w:val="auto"/>
        </w:rPr>
        <w:t>пориназ, характеризующихся высоким сродством к цефамицинам и цефалоспоринам 3-го пок</w:t>
      </w:r>
      <w:r w:rsidRPr="005C179D">
        <w:rPr>
          <w:color w:val="auto"/>
        </w:rPr>
        <w:t>о</w:t>
      </w:r>
      <w:r w:rsidRPr="005C179D">
        <w:rPr>
          <w:color w:val="auto"/>
        </w:rPr>
        <w:t>ления. Индукция или стабильное "дерепрессирование" этих хромосомных бета-лактамаз в п</w:t>
      </w:r>
      <w:r w:rsidRPr="005C179D">
        <w:rPr>
          <w:color w:val="auto"/>
        </w:rPr>
        <w:t>е</w:t>
      </w:r>
      <w:r w:rsidRPr="005C179D">
        <w:rPr>
          <w:color w:val="auto"/>
        </w:rPr>
        <w:t>риод "давления" (применения) цефамицинов или цефалоспоринов 3-го поколения в итоге пр</w:t>
      </w:r>
      <w:r w:rsidRPr="005C179D">
        <w:rPr>
          <w:color w:val="auto"/>
        </w:rPr>
        <w:t>и</w:t>
      </w:r>
      <w:r w:rsidRPr="005C179D">
        <w:rPr>
          <w:color w:val="auto"/>
        </w:rPr>
        <w:t>ведет к формированию рез</w:t>
      </w:r>
      <w:r w:rsidRPr="005C179D">
        <w:rPr>
          <w:color w:val="auto"/>
        </w:rPr>
        <w:t>и</w:t>
      </w:r>
      <w:r w:rsidRPr="005C179D">
        <w:rPr>
          <w:color w:val="auto"/>
        </w:rPr>
        <w:t>стентности ко всем доступным цефалоспоринам. Распространение данной формы резистентности увеличивается в случаях лече</w:t>
      </w:r>
      <w:r w:rsidR="005C179D" w:rsidRPr="005C179D">
        <w:rPr>
          <w:color w:val="auto"/>
        </w:rPr>
        <w:t>$</w:t>
      </w:r>
      <w:r w:rsidRPr="005C179D">
        <w:rPr>
          <w:color w:val="auto"/>
        </w:rPr>
        <w:t>ния инфекций, прежде всего в</w:t>
      </w:r>
      <w:r w:rsidRPr="005C179D">
        <w:rPr>
          <w:color w:val="auto"/>
        </w:rPr>
        <w:t>ы</w:t>
      </w:r>
      <w:r w:rsidRPr="005C179D">
        <w:rPr>
          <w:color w:val="auto"/>
        </w:rPr>
        <w:t>зываемых Enterobacter cloaceae и Pseudomonas aeruginosa, цефалоспоринами широкого спектра действия.</w:t>
      </w:r>
    </w:p>
    <w:p w14:paraId="57E5D0B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 последнее время были открыты и так называемые бета-лактамазы расширенного спе</w:t>
      </w:r>
      <w:r w:rsidRPr="005C179D">
        <w:rPr>
          <w:color w:val="auto"/>
        </w:rPr>
        <w:t>к</w:t>
      </w:r>
      <w:r w:rsidRPr="005C179D">
        <w:rPr>
          <w:color w:val="auto"/>
        </w:rPr>
        <w:t>тра действия, кодируемые плазмидами (extended-spectrum beta-lactamases - ESBL). ESBL прои</w:t>
      </w:r>
      <w:r w:rsidRPr="005C179D">
        <w:rPr>
          <w:color w:val="auto"/>
        </w:rPr>
        <w:t>с</w:t>
      </w:r>
      <w:r w:rsidRPr="005C179D">
        <w:rPr>
          <w:color w:val="auto"/>
        </w:rPr>
        <w:t>ходят из ТЕМ-1, ТЕМ-2 или SHV-1 вследствие точечной мутации в активном центре энзимов и продуцируются преимущественно Klebsiella pneumoniae. Продукция ESBL ассоциируется с в</w:t>
      </w:r>
      <w:r w:rsidRPr="005C179D">
        <w:rPr>
          <w:color w:val="auto"/>
        </w:rPr>
        <w:t>ы</w:t>
      </w:r>
      <w:r w:rsidRPr="005C179D">
        <w:rPr>
          <w:color w:val="auto"/>
        </w:rPr>
        <w:t>соким уровнем резистентности к азтреонаму и цефалоспоринам 3-го поколения - цефтазидиму и др. (табл. 1).</w:t>
      </w:r>
    </w:p>
    <w:p w14:paraId="268544E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1. Чувствительность бетта-лактамных антибиотиков к плазмидным бетта-лактамазам (по K.Bush et al., 1995)</w:t>
      </w:r>
    </w:p>
    <w:tbl>
      <w:tblPr>
        <w:tblW w:w="974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5"/>
        <w:gridCol w:w="3739"/>
        <w:gridCol w:w="4367"/>
      </w:tblGrid>
      <w:tr w:rsidR="00353761" w:rsidRPr="005C179D" w14:paraId="5FC9E67C" w14:textId="77777777">
        <w:trPr>
          <w:cantSplit/>
          <w:tblCellSpacing w:w="15" w:type="dxa"/>
          <w:jc w:val="center"/>
        </w:trPr>
        <w:tc>
          <w:tcPr>
            <w:tcW w:w="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9A93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Препарат</w:t>
            </w:r>
          </w:p>
        </w:tc>
        <w:tc>
          <w:tcPr>
            <w:tcW w:w="4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3E3DF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Отношение к действию ферментов</w:t>
            </w:r>
          </w:p>
        </w:tc>
      </w:tr>
      <w:tr w:rsidR="00353761" w:rsidRPr="005C179D" w14:paraId="125A12B6" w14:textId="77777777">
        <w:trPr>
          <w:cantSplit/>
          <w:tblCellSpacing w:w="15" w:type="dxa"/>
          <w:jc w:val="center"/>
        </w:trPr>
        <w:tc>
          <w:tcPr>
            <w:tcW w:w="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C0247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058D2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широкого спектра (ТЕМ-1,2, SHV-1)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C7A3C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расширенного спектра (TEM3-27, SHV2-5)</w:t>
            </w:r>
          </w:p>
        </w:tc>
      </w:tr>
      <w:tr w:rsidR="00353761" w:rsidRPr="005C179D" w14:paraId="444F72DC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C8B76" w14:textId="77777777" w:rsidR="00353761" w:rsidRPr="005C179D" w:rsidRDefault="00353761" w:rsidP="005C179D">
            <w:r w:rsidRPr="005C179D">
              <w:t>Пенициллины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0250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885BD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</w:tr>
      <w:tr w:rsidR="00353761" w:rsidRPr="005C179D" w14:paraId="2380CDCD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63B89" w14:textId="77777777" w:rsidR="00353761" w:rsidRPr="005C179D" w:rsidRDefault="00353761" w:rsidP="005C179D">
            <w:r w:rsidRPr="005C179D">
              <w:t>Цефалоспорины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D9E7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2324E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</w:tr>
      <w:tr w:rsidR="00353761" w:rsidRPr="005C179D" w14:paraId="13E53AA3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407CB" w14:textId="77777777" w:rsidR="00353761" w:rsidRPr="005C179D" w:rsidRDefault="00353761" w:rsidP="005C179D">
            <w:r w:rsidRPr="005C179D">
              <w:t>1-го поколения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BB3D0" w14:textId="77777777" w:rsidR="00353761" w:rsidRPr="005C179D" w:rsidRDefault="00353761" w:rsidP="005C179D">
            <w:pPr>
              <w:jc w:val="center"/>
            </w:pPr>
            <w:r w:rsidRPr="005C179D">
              <w:t>Стабильны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0DD4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</w:tr>
      <w:tr w:rsidR="00353761" w:rsidRPr="005C179D" w14:paraId="7CC20B94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30AB" w14:textId="77777777" w:rsidR="00353761" w:rsidRPr="005C179D" w:rsidRDefault="00353761" w:rsidP="005C179D">
            <w:r w:rsidRPr="005C179D">
              <w:t>2-го поколения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2E578" w14:textId="77777777" w:rsidR="00353761" w:rsidRPr="005C179D" w:rsidRDefault="00353761" w:rsidP="005C179D">
            <w:pPr>
              <w:jc w:val="center"/>
            </w:pPr>
            <w:r w:rsidRPr="005C179D">
              <w:t>Стабильны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DBCD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</w:tr>
      <w:tr w:rsidR="00353761" w:rsidRPr="005C179D" w14:paraId="6604B800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3313D" w14:textId="77777777" w:rsidR="00353761" w:rsidRPr="005C179D" w:rsidRDefault="00353761" w:rsidP="005C179D">
            <w:r w:rsidRPr="005C179D">
              <w:t>3-го поколения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D066" w14:textId="77777777" w:rsidR="00353761" w:rsidRPr="005C179D" w:rsidRDefault="00353761" w:rsidP="005C179D">
            <w:pPr>
              <w:jc w:val="center"/>
            </w:pPr>
            <w:r w:rsidRPr="005C179D">
              <w:t>Стабильны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B875C" w14:textId="77777777" w:rsidR="00353761" w:rsidRPr="005C179D" w:rsidRDefault="00353761" w:rsidP="005C179D">
            <w:pPr>
              <w:jc w:val="center"/>
            </w:pPr>
            <w:r w:rsidRPr="005C179D">
              <w:t>Разрушаются</w:t>
            </w:r>
          </w:p>
        </w:tc>
      </w:tr>
      <w:tr w:rsidR="00353761" w:rsidRPr="005C179D" w14:paraId="5BD0E65D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C133" w14:textId="77777777" w:rsidR="00353761" w:rsidRPr="005C179D" w:rsidRDefault="00353761" w:rsidP="005C179D">
            <w:r w:rsidRPr="005C179D">
              <w:t>Цефпиром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79C44" w14:textId="77777777" w:rsidR="00353761" w:rsidRPr="005C179D" w:rsidRDefault="00353761" w:rsidP="005C179D">
            <w:pPr>
              <w:jc w:val="center"/>
            </w:pPr>
            <w:r w:rsidRPr="005C179D">
              <w:t>Стабилен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2B544" w14:textId="77777777" w:rsidR="00353761" w:rsidRPr="005C179D" w:rsidRDefault="00353761" w:rsidP="005C179D">
            <w:pPr>
              <w:jc w:val="center"/>
            </w:pPr>
            <w:r w:rsidRPr="005C179D">
              <w:t>Частично стабилен</w:t>
            </w:r>
          </w:p>
        </w:tc>
      </w:tr>
      <w:tr w:rsidR="00353761" w:rsidRPr="005C179D" w14:paraId="1EC8E67C" w14:textId="77777777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276F1" w14:textId="77777777" w:rsidR="00353761" w:rsidRPr="005C179D" w:rsidRDefault="00353761" w:rsidP="005C179D">
            <w:r w:rsidRPr="005C179D">
              <w:t>Карбапенемы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F0BD" w14:textId="77777777" w:rsidR="00353761" w:rsidRPr="005C179D" w:rsidRDefault="00353761" w:rsidP="005C179D">
            <w:pPr>
              <w:jc w:val="center"/>
            </w:pPr>
            <w:r w:rsidRPr="005C179D">
              <w:t>Стабильны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55FCD" w14:textId="77777777" w:rsidR="00353761" w:rsidRPr="005C179D" w:rsidRDefault="00353761" w:rsidP="005C179D">
            <w:pPr>
              <w:jc w:val="center"/>
            </w:pPr>
            <w:r w:rsidRPr="005C179D">
              <w:t>Стабильны</w:t>
            </w:r>
          </w:p>
        </w:tc>
      </w:tr>
    </w:tbl>
    <w:p w14:paraId="1C3EE09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Устойчивость цефалоспоринов 4-го поколения к действию бета-лактамаз еще предстоит оц</w:t>
      </w:r>
      <w:r w:rsidRPr="005C179D">
        <w:rPr>
          <w:color w:val="auto"/>
        </w:rPr>
        <w:t>е</w:t>
      </w:r>
      <w:r w:rsidRPr="005C179D">
        <w:rPr>
          <w:color w:val="auto"/>
        </w:rPr>
        <w:t>нить.</w:t>
      </w:r>
    </w:p>
    <w:p w14:paraId="3339D30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Таким образом, цефалоспорины, потенциально активные в отношении грамотрицател</w:t>
      </w:r>
      <w:r w:rsidRPr="005C179D">
        <w:rPr>
          <w:color w:val="auto"/>
        </w:rPr>
        <w:t>ь</w:t>
      </w:r>
      <w:r w:rsidRPr="005C179D">
        <w:rPr>
          <w:color w:val="auto"/>
        </w:rPr>
        <w:t>ных микроорганизмов, должны первоначально пройти сквозь наружную стенку, избежать ги</w:t>
      </w:r>
      <w:r w:rsidRPr="005C179D">
        <w:rPr>
          <w:color w:val="auto"/>
        </w:rPr>
        <w:t>д</w:t>
      </w:r>
      <w:r w:rsidRPr="005C179D">
        <w:rPr>
          <w:color w:val="auto"/>
        </w:rPr>
        <w:t>роли</w:t>
      </w:r>
      <w:r w:rsidRPr="005C179D">
        <w:rPr>
          <w:color w:val="auto"/>
        </w:rPr>
        <w:t>з</w:t>
      </w:r>
      <w:r w:rsidRPr="005C179D">
        <w:rPr>
          <w:color w:val="auto"/>
        </w:rPr>
        <w:t>ной деградации в периплазматическом пространстве под влиянием бета-лактамаз и далее св</w:t>
      </w:r>
      <w:r w:rsidRPr="005C179D">
        <w:rPr>
          <w:color w:val="auto"/>
        </w:rPr>
        <w:t>я</w:t>
      </w:r>
      <w:r w:rsidRPr="005C179D">
        <w:rPr>
          <w:color w:val="auto"/>
        </w:rPr>
        <w:t xml:space="preserve">заться с РВР на внутренней мембране микробной клетки. </w:t>
      </w:r>
    </w:p>
    <w:p w14:paraId="4C61576F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br w:type="page"/>
        <w:t>Классификация цефалоспоринов</w:t>
      </w:r>
    </w:p>
    <w:p w14:paraId="4D64176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Наиболее удачной является классификация цефалоспоринов, в которой учтен спектр а</w:t>
      </w:r>
      <w:r w:rsidRPr="005C179D">
        <w:rPr>
          <w:color w:val="auto"/>
        </w:rPr>
        <w:t>н</w:t>
      </w:r>
      <w:r w:rsidRPr="005C179D">
        <w:rPr>
          <w:color w:val="auto"/>
        </w:rPr>
        <w:t>тимикробной активности препаратов (табл. 2). При этом в каждом поколении (генерации)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лоспоринов выделяют препарат-прототип, свойства которого используют при создании новых соед</w:t>
      </w:r>
      <w:r w:rsidRPr="005C179D">
        <w:rPr>
          <w:color w:val="auto"/>
        </w:rPr>
        <w:t>и</w:t>
      </w:r>
      <w:r w:rsidRPr="005C179D">
        <w:rPr>
          <w:color w:val="auto"/>
        </w:rPr>
        <w:t>нений: 1-е поколение - цефазолин, 2-е - цефуроксим, 3-е - цефотаксим, 4-е - цефепим.</w:t>
      </w:r>
    </w:p>
    <w:p w14:paraId="13E2178B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2. Сравнительная характеристика антимикробной активности цефалоспоринов (по P.Periti, 1996)</w:t>
      </w:r>
    </w:p>
    <w:tbl>
      <w:tblPr>
        <w:tblW w:w="718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0"/>
        <w:gridCol w:w="2244"/>
        <w:gridCol w:w="2380"/>
      </w:tblGrid>
      <w:tr w:rsidR="00353761" w:rsidRPr="005C179D" w14:paraId="127FA419" w14:textId="77777777">
        <w:trPr>
          <w:cantSplit/>
          <w:tblCellSpacing w:w="15" w:type="dxa"/>
          <w:jc w:val="center"/>
        </w:trPr>
        <w:tc>
          <w:tcPr>
            <w:tcW w:w="1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DFC85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Поколение антиби</w:t>
            </w:r>
            <w:r w:rsidRPr="005C179D">
              <w:rPr>
                <w:b/>
                <w:bCs/>
                <w:color w:val="auto"/>
              </w:rPr>
              <w:t>о</w:t>
            </w:r>
            <w:r w:rsidRPr="005C179D">
              <w:rPr>
                <w:b/>
                <w:bCs/>
                <w:color w:val="auto"/>
              </w:rPr>
              <w:t>тика</w:t>
            </w:r>
          </w:p>
        </w:tc>
        <w:tc>
          <w:tcPr>
            <w:tcW w:w="3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D7008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Чувствительность микроорганизмов</w:t>
            </w:r>
          </w:p>
        </w:tc>
      </w:tr>
      <w:tr w:rsidR="00353761" w:rsidRPr="005C179D" w14:paraId="7A39774E" w14:textId="77777777">
        <w:trPr>
          <w:cantSplit/>
          <w:tblCellSpacing w:w="15" w:type="dxa"/>
          <w:jc w:val="center"/>
        </w:trPr>
        <w:tc>
          <w:tcPr>
            <w:tcW w:w="1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7079B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ABCF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грамотрицательных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109F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 w:rsidRPr="005C179D">
              <w:rPr>
                <w:b/>
                <w:bCs/>
                <w:color w:val="auto"/>
              </w:rPr>
              <w:t>грамположительных</w:t>
            </w:r>
          </w:p>
        </w:tc>
      </w:tr>
      <w:tr w:rsidR="00353761" w:rsidRPr="005C179D" w14:paraId="2AD2F836" w14:textId="77777777">
        <w:trPr>
          <w:tblCellSpacing w:w="15" w:type="dxa"/>
          <w:jc w:val="center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2D97C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1-е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1E1F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++++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66E51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</w:t>
            </w:r>
          </w:p>
        </w:tc>
      </w:tr>
      <w:tr w:rsidR="00353761" w:rsidRPr="005C179D" w14:paraId="1667AB84" w14:textId="77777777">
        <w:trPr>
          <w:tblCellSpacing w:w="15" w:type="dxa"/>
          <w:jc w:val="center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00D6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2-е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20E0C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+++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1C964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</w:t>
            </w:r>
          </w:p>
        </w:tc>
      </w:tr>
      <w:tr w:rsidR="00353761" w:rsidRPr="005C179D" w14:paraId="3F957B1F" w14:textId="77777777">
        <w:trPr>
          <w:tblCellSpacing w:w="15" w:type="dxa"/>
          <w:jc w:val="center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BA48C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3-е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44E2C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7DA7B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+++</w:t>
            </w:r>
          </w:p>
        </w:tc>
      </w:tr>
      <w:tr w:rsidR="00353761" w:rsidRPr="005C179D" w14:paraId="066FFB0D" w14:textId="77777777">
        <w:trPr>
          <w:tblCellSpacing w:w="15" w:type="dxa"/>
          <w:jc w:val="center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13751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4-е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3FD36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5D1D7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jc w:val="both"/>
              <w:rPr>
                <w:color w:val="auto"/>
              </w:rPr>
            </w:pPr>
            <w:r w:rsidRPr="005C179D">
              <w:rPr>
                <w:color w:val="auto"/>
              </w:rPr>
              <w:t>++++</w:t>
            </w:r>
          </w:p>
        </w:tc>
      </w:tr>
    </w:tbl>
    <w:p w14:paraId="10FEE25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1-го поколения характеризуются относительно узким спектром ант</w:t>
      </w:r>
      <w:r w:rsidRPr="005C179D">
        <w:rPr>
          <w:color w:val="auto"/>
        </w:rPr>
        <w:t>и</w:t>
      </w:r>
      <w:r w:rsidRPr="005C179D">
        <w:rPr>
          <w:color w:val="auto"/>
        </w:rPr>
        <w:t>микробного действия, преимущественно в отношении грамположительных кокков.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рины 2-го поколения демонстрируют вариабельную активность в отношении грамположител</w:t>
      </w:r>
      <w:r w:rsidRPr="005C179D">
        <w:rPr>
          <w:color w:val="auto"/>
        </w:rPr>
        <w:t>ь</w:t>
      </w:r>
      <w:r w:rsidRPr="005C179D">
        <w:rPr>
          <w:color w:val="auto"/>
        </w:rPr>
        <w:t>ных кокков и более выраженное действие против грамотрицательных бактерий. Несмотря на отн</w:t>
      </w:r>
      <w:r w:rsidRPr="005C179D">
        <w:rPr>
          <w:color w:val="auto"/>
        </w:rPr>
        <w:t>о</w:t>
      </w:r>
      <w:r w:rsidRPr="005C179D">
        <w:rPr>
          <w:color w:val="auto"/>
        </w:rPr>
        <w:t>сительно высокую активность цефамицинов в отношении грамотрицательных аэробных и анаэробных микроорганизмов, их также относят к цефалоспоринам 2-го поколения. Цефало</w:t>
      </w:r>
      <w:r w:rsidRPr="005C179D">
        <w:rPr>
          <w:color w:val="auto"/>
        </w:rPr>
        <w:t>с</w:t>
      </w:r>
      <w:r w:rsidRPr="005C179D">
        <w:rPr>
          <w:color w:val="auto"/>
        </w:rPr>
        <w:t>порины, оказывающие выраженное бактерицидное действие на грамотрицательные микроорг</w:t>
      </w:r>
      <w:r w:rsidRPr="005C179D">
        <w:rPr>
          <w:color w:val="auto"/>
        </w:rPr>
        <w:t>а</w:t>
      </w:r>
      <w:r w:rsidRPr="005C179D">
        <w:rPr>
          <w:color w:val="auto"/>
        </w:rPr>
        <w:t>ни</w:t>
      </w:r>
      <w:r w:rsidRPr="005C179D">
        <w:rPr>
          <w:color w:val="auto"/>
        </w:rPr>
        <w:t>з</w:t>
      </w:r>
      <w:r w:rsidRPr="005C179D">
        <w:rPr>
          <w:color w:val="auto"/>
        </w:rPr>
        <w:t>мы, объединены в рубрику цефалоспоринов 3-го поколения; часть из них характеризуется ограниченной активностью в отношении грамположительных кокков, особенно метицилли</w:t>
      </w:r>
      <w:r w:rsidRPr="005C179D">
        <w:rPr>
          <w:color w:val="auto"/>
        </w:rPr>
        <w:t>н</w:t>
      </w:r>
      <w:r w:rsidRPr="005C179D">
        <w:rPr>
          <w:color w:val="auto"/>
        </w:rPr>
        <w:t>чувствительных штаммов S.aureus. К этому же поколению отнесен и цефсулазин, хотя клинич</w:t>
      </w:r>
      <w:r w:rsidRPr="005C179D">
        <w:rPr>
          <w:color w:val="auto"/>
        </w:rPr>
        <w:t>е</w:t>
      </w:r>
      <w:r w:rsidRPr="005C179D">
        <w:rPr>
          <w:color w:val="auto"/>
        </w:rPr>
        <w:t>ское значение этого препар</w:t>
      </w:r>
      <w:r w:rsidRPr="005C179D">
        <w:rPr>
          <w:color w:val="auto"/>
        </w:rPr>
        <w:t>а</w:t>
      </w:r>
      <w:r w:rsidRPr="005C179D">
        <w:rPr>
          <w:color w:val="auto"/>
        </w:rPr>
        <w:t>та состоит в том, что он активен преимущественно против P.aeruginosa.</w:t>
      </w:r>
    </w:p>
    <w:p w14:paraId="1D3CE09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Цефепим и цефпиром (4-е поколение цефалоспоринов) демонстрируют наиболее шир</w:t>
      </w:r>
      <w:r w:rsidRPr="005C179D">
        <w:rPr>
          <w:color w:val="auto"/>
        </w:rPr>
        <w:t>о</w:t>
      </w:r>
      <w:r w:rsidRPr="005C179D">
        <w:rPr>
          <w:color w:val="auto"/>
        </w:rPr>
        <w:t>кий спектр антимикробной активности, включающий грамположительные кокки и грамотриц</w:t>
      </w:r>
      <w:r w:rsidRPr="005C179D">
        <w:rPr>
          <w:color w:val="auto"/>
        </w:rPr>
        <w:t>а</w:t>
      </w:r>
      <w:r w:rsidRPr="005C179D">
        <w:rPr>
          <w:color w:val="auto"/>
        </w:rPr>
        <w:t>тел</w:t>
      </w:r>
      <w:r w:rsidRPr="005C179D">
        <w:rPr>
          <w:color w:val="auto"/>
        </w:rPr>
        <w:t>ь</w:t>
      </w:r>
      <w:r w:rsidRPr="005C179D">
        <w:rPr>
          <w:color w:val="auto"/>
        </w:rPr>
        <w:t xml:space="preserve">ные бактерии (большинство представителей семейства Enterobacteriaceae, P.aeruginosa). </w:t>
      </w:r>
    </w:p>
    <w:p w14:paraId="437FFBC8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br w:type="page"/>
        <w:t>Фармакология цефалоспоринов</w:t>
      </w:r>
    </w:p>
    <w:p w14:paraId="1FEB111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Основные фармакологические свойства цефалоспоринов представлены в табл. 3. Ряд препаратов (цефалексин, цефуроксим и др.) способен абсорбироваться в желудочно-кишечном тракте. Цефалоспорины для парентального введения могут быть назначены как внутривенно, так и внутримышечно (цефалотин показан только для внутривенного введения). При этом н</w:t>
      </w:r>
      <w:r w:rsidRPr="005C179D">
        <w:rPr>
          <w:color w:val="auto"/>
        </w:rPr>
        <w:t>е</w:t>
      </w:r>
      <w:r w:rsidRPr="005C179D">
        <w:rPr>
          <w:color w:val="auto"/>
        </w:rPr>
        <w:t>обходимо отметить, что внутримышечное введение большинства цефалоспоринов очень боле</w:t>
      </w:r>
      <w:r w:rsidRPr="005C179D">
        <w:rPr>
          <w:color w:val="auto"/>
        </w:rPr>
        <w:t>з</w:t>
      </w:r>
      <w:r w:rsidRPr="005C179D">
        <w:rPr>
          <w:color w:val="auto"/>
        </w:rPr>
        <w:t>ненное, в связи с чем в качестве растворителя рекомендуют использовать лидокаин.</w:t>
      </w:r>
    </w:p>
    <w:p w14:paraId="17FB1BE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3. Фармакинетика цефалоспоринов</w:t>
      </w:r>
    </w:p>
    <w:tbl>
      <w:tblPr>
        <w:tblW w:w="10260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2"/>
        <w:gridCol w:w="2339"/>
        <w:gridCol w:w="1260"/>
        <w:gridCol w:w="2163"/>
        <w:gridCol w:w="1437"/>
        <w:gridCol w:w="1259"/>
      </w:tblGrid>
      <w:tr w:rsidR="00353761" w:rsidRPr="005C179D" w14:paraId="6D4E4D56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A85D9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Препарат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DA541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Средние терапевт</w:t>
            </w:r>
            <w:r w:rsidRPr="005C179D">
              <w:rPr>
                <w:b/>
                <w:bCs/>
              </w:rPr>
              <w:t>и</w:t>
            </w:r>
            <w:r w:rsidRPr="005C179D">
              <w:rPr>
                <w:b/>
                <w:bCs/>
              </w:rPr>
              <w:t>ческие дозы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9D21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Период полув</w:t>
            </w:r>
            <w:r w:rsidRPr="005C179D">
              <w:rPr>
                <w:b/>
                <w:bCs/>
              </w:rPr>
              <w:t>ы</w:t>
            </w:r>
            <w:r w:rsidRPr="005C179D">
              <w:rPr>
                <w:b/>
                <w:bCs/>
              </w:rPr>
              <w:t>вед</w:t>
            </w:r>
            <w:r w:rsidRPr="005C179D">
              <w:rPr>
                <w:b/>
                <w:bCs/>
              </w:rPr>
              <w:t>е</w:t>
            </w:r>
            <w:r w:rsidRPr="005C179D">
              <w:rPr>
                <w:b/>
                <w:bCs/>
              </w:rPr>
              <w:t>ния, ч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DF832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Концентрация в цереброспинал</w:t>
            </w:r>
            <w:r w:rsidRPr="005C179D">
              <w:rPr>
                <w:b/>
                <w:bCs/>
              </w:rPr>
              <w:t>ь</w:t>
            </w:r>
            <w:r w:rsidRPr="005C179D">
              <w:rPr>
                <w:b/>
                <w:bCs/>
              </w:rPr>
              <w:t>ной жидкости, мг/л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5DB9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Связыв</w:t>
            </w:r>
            <w:r w:rsidRPr="005C179D">
              <w:rPr>
                <w:b/>
                <w:bCs/>
              </w:rPr>
              <w:t>а</w:t>
            </w:r>
            <w:r w:rsidRPr="005C179D">
              <w:rPr>
                <w:b/>
                <w:bCs/>
              </w:rPr>
              <w:t>ние с бе</w:t>
            </w:r>
            <w:r w:rsidRPr="005C179D">
              <w:rPr>
                <w:b/>
                <w:bCs/>
              </w:rPr>
              <w:t>л</w:t>
            </w:r>
            <w:r w:rsidRPr="005C179D">
              <w:rPr>
                <w:b/>
                <w:bCs/>
              </w:rPr>
              <w:t>ками пла</w:t>
            </w:r>
            <w:r w:rsidRPr="005C179D">
              <w:rPr>
                <w:b/>
                <w:bCs/>
              </w:rPr>
              <w:t>з</w:t>
            </w:r>
            <w:r w:rsidRPr="005C179D">
              <w:rPr>
                <w:b/>
                <w:bCs/>
              </w:rPr>
              <w:t>мы, %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34796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Путь в</w:t>
            </w:r>
            <w:r w:rsidRPr="005C179D">
              <w:rPr>
                <w:b/>
                <w:bCs/>
              </w:rPr>
              <w:t>ы</w:t>
            </w:r>
            <w:r w:rsidRPr="005C179D">
              <w:rPr>
                <w:b/>
                <w:bCs/>
              </w:rPr>
              <w:t>ведения</w:t>
            </w:r>
          </w:p>
        </w:tc>
      </w:tr>
      <w:tr w:rsidR="00353761" w:rsidRPr="005C179D" w14:paraId="063893BF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9C238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1-го поколения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C06C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EE699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13C9F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F6CB6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70DC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</w:tr>
      <w:tr w:rsidR="00353761" w:rsidRPr="005C179D" w14:paraId="47D01CF2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C879" w14:textId="77777777" w:rsidR="00353761" w:rsidRPr="005C179D" w:rsidRDefault="00353761" w:rsidP="005C179D">
            <w:pPr>
              <w:jc w:val="both"/>
            </w:pPr>
            <w:r w:rsidRPr="005C179D">
              <w:t>цефазолин (ке</w:t>
            </w:r>
            <w:r w:rsidRPr="005C179D">
              <w:t>ф</w:t>
            </w:r>
            <w:r w:rsidRPr="005C179D">
              <w:t>зол)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FABBC" w14:textId="77777777" w:rsidR="00353761" w:rsidRPr="005C179D" w:rsidRDefault="00353761" w:rsidP="005C179D">
            <w:pPr>
              <w:jc w:val="both"/>
            </w:pPr>
            <w:smartTag w:uri="urn:schemas-microsoft-com:office:smarttags" w:element="metricconverter">
              <w:smartTagPr>
                <w:attr w:name="ProductID" w:val="1 г"/>
              </w:smartTagPr>
              <w:r w:rsidRPr="005C179D">
                <w:t>1 г</w:t>
              </w:r>
            </w:smartTag>
            <w:r w:rsidRPr="005C179D">
              <w:t xml:space="preserve"> каждые 8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C4D13" w14:textId="77777777" w:rsidR="00353761" w:rsidRPr="005C179D" w:rsidRDefault="00353761" w:rsidP="005C179D">
            <w:pPr>
              <w:jc w:val="center"/>
            </w:pPr>
            <w:r w:rsidRPr="005C179D">
              <w:t>1,8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59C76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00414" w14:textId="77777777" w:rsidR="00353761" w:rsidRPr="005C179D" w:rsidRDefault="00353761" w:rsidP="005C179D">
            <w:pPr>
              <w:jc w:val="center"/>
            </w:pPr>
            <w:r w:rsidRPr="005C179D">
              <w:t>80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9495B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10B12884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3578B" w14:textId="77777777" w:rsidR="00353761" w:rsidRPr="005C179D" w:rsidRDefault="00353761" w:rsidP="005C179D">
            <w:pPr>
              <w:jc w:val="both"/>
            </w:pPr>
            <w:r w:rsidRPr="005C179D">
              <w:t>цефалотин (ке</w:t>
            </w:r>
            <w:r w:rsidRPr="005C179D">
              <w:t>ф</w:t>
            </w:r>
            <w:r w:rsidRPr="005C179D">
              <w:t>лин)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22AFE" w14:textId="77777777" w:rsidR="00353761" w:rsidRPr="005C179D" w:rsidRDefault="00353761" w:rsidP="005C179D">
            <w:pPr>
              <w:jc w:val="both"/>
            </w:pPr>
            <w:r w:rsidRPr="005C179D">
              <w:t>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179D">
                <w:t>2 г</w:t>
              </w:r>
            </w:smartTag>
            <w:r w:rsidRPr="005C179D">
              <w:t xml:space="preserve"> каждые 4-6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80E4B" w14:textId="77777777" w:rsidR="00353761" w:rsidRPr="005C179D" w:rsidRDefault="00353761" w:rsidP="005C179D">
            <w:pPr>
              <w:jc w:val="center"/>
            </w:pPr>
            <w:r w:rsidRPr="005C179D">
              <w:t>0,6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19AF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AF828" w14:textId="77777777" w:rsidR="00353761" w:rsidRPr="005C179D" w:rsidRDefault="00353761" w:rsidP="005C179D">
            <w:pPr>
              <w:jc w:val="center"/>
            </w:pPr>
            <w:r w:rsidRPr="005C179D">
              <w:t>71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F0F78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0AE075A4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C1316" w14:textId="77777777" w:rsidR="00353761" w:rsidRPr="005C179D" w:rsidRDefault="00353761" w:rsidP="005C179D">
            <w:pPr>
              <w:jc w:val="both"/>
            </w:pPr>
            <w:r w:rsidRPr="005C179D">
              <w:t>цефалексин (п</w:t>
            </w:r>
            <w:r w:rsidRPr="005C179D">
              <w:t>а</w:t>
            </w:r>
            <w:r w:rsidRPr="005C179D">
              <w:t>литрекс)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299B" w14:textId="77777777" w:rsidR="00353761" w:rsidRPr="005C179D" w:rsidRDefault="00353761" w:rsidP="005C179D">
            <w:pPr>
              <w:jc w:val="both"/>
            </w:pPr>
            <w:r w:rsidRPr="005C179D">
              <w:t>0,5 -1г каждые 6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E778" w14:textId="77777777" w:rsidR="00353761" w:rsidRPr="005C179D" w:rsidRDefault="00353761" w:rsidP="005C179D">
            <w:pPr>
              <w:jc w:val="center"/>
            </w:pPr>
            <w:r w:rsidRPr="005C179D">
              <w:t>0,9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9700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A9B83" w14:textId="77777777" w:rsidR="00353761" w:rsidRPr="005C179D" w:rsidRDefault="00353761" w:rsidP="005C179D">
            <w:pPr>
              <w:jc w:val="center"/>
            </w:pPr>
            <w:r w:rsidRPr="005C179D">
              <w:t>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CD97E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707150F7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DD743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2-го поколения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81882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0EDAB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AAD0A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D0C09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37FF9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</w:tr>
      <w:tr w:rsidR="00353761" w:rsidRPr="005C179D" w14:paraId="70C2BEAB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C07F2" w14:textId="77777777" w:rsidR="00353761" w:rsidRPr="005C179D" w:rsidRDefault="00353761" w:rsidP="005C179D">
            <w:pPr>
              <w:jc w:val="both"/>
            </w:pPr>
            <w:r w:rsidRPr="005C179D">
              <w:t>цефамандол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9E44" w14:textId="77777777" w:rsidR="00353761" w:rsidRPr="005C179D" w:rsidRDefault="00353761" w:rsidP="005C179D">
            <w:pPr>
              <w:jc w:val="both"/>
            </w:pPr>
            <w:r w:rsidRPr="005C179D">
              <w:t>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179D">
                <w:t>2 г</w:t>
              </w:r>
            </w:smartTag>
            <w:r w:rsidRPr="005C179D">
              <w:t xml:space="preserve"> каждые 4-6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957E3" w14:textId="77777777" w:rsidR="00353761" w:rsidRPr="005C179D" w:rsidRDefault="00353761" w:rsidP="005C179D">
            <w:pPr>
              <w:jc w:val="center"/>
            </w:pPr>
            <w:r w:rsidRPr="005C179D">
              <w:t>0,8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DA0B8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B730E" w14:textId="77777777" w:rsidR="00353761" w:rsidRPr="005C179D" w:rsidRDefault="00353761" w:rsidP="005C179D">
            <w:pPr>
              <w:jc w:val="center"/>
            </w:pPr>
            <w:r w:rsidRPr="005C179D">
              <w:t>75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9D37B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665920B7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98DAB" w14:textId="77777777" w:rsidR="00353761" w:rsidRPr="005C179D" w:rsidRDefault="00353761" w:rsidP="005C179D">
            <w:pPr>
              <w:jc w:val="both"/>
            </w:pPr>
            <w:r w:rsidRPr="005C179D">
              <w:t>цефаклор (аль</w:t>
            </w:r>
            <w:r w:rsidRPr="005C179D">
              <w:t>ф</w:t>
            </w:r>
            <w:r w:rsidRPr="005C179D">
              <w:t>ацет)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DA86" w14:textId="77777777" w:rsidR="00353761" w:rsidRPr="005C179D" w:rsidRDefault="00353761" w:rsidP="005C179D">
            <w:pPr>
              <w:jc w:val="both"/>
            </w:pPr>
            <w:r w:rsidRPr="005C179D">
              <w:t>0,25-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5C179D">
                <w:t>0,5 г</w:t>
              </w:r>
            </w:smartTag>
            <w:r w:rsidRPr="005C179D">
              <w:t xml:space="preserve"> каждые 8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14D5" w14:textId="77777777" w:rsidR="00353761" w:rsidRPr="005C179D" w:rsidRDefault="00353761" w:rsidP="005C179D">
            <w:pPr>
              <w:jc w:val="center"/>
            </w:pPr>
            <w:r w:rsidRPr="005C179D">
              <w:t>0,8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3F429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ABF5B" w14:textId="77777777" w:rsidR="00353761" w:rsidRPr="005C179D" w:rsidRDefault="00353761" w:rsidP="005C179D">
            <w:pPr>
              <w:jc w:val="center"/>
            </w:pPr>
            <w:r w:rsidRPr="005C179D">
              <w:t>25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BE691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1D6E8815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8F6BC" w14:textId="77777777" w:rsidR="00353761" w:rsidRPr="005C179D" w:rsidRDefault="00353761" w:rsidP="005C179D">
            <w:pPr>
              <w:jc w:val="both"/>
            </w:pPr>
            <w:r w:rsidRPr="005C179D">
              <w:t>цефуроксим а</w:t>
            </w:r>
            <w:r w:rsidRPr="005C179D">
              <w:t>к</w:t>
            </w:r>
            <w:r w:rsidRPr="005C179D">
              <w:t>сетил (зиннат)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E2D23" w14:textId="77777777" w:rsidR="00353761" w:rsidRPr="005C179D" w:rsidRDefault="00353761" w:rsidP="005C179D">
            <w:pPr>
              <w:jc w:val="both"/>
            </w:pPr>
            <w:r w:rsidRPr="005C179D">
              <w:t>0,25-</w:t>
            </w:r>
            <w:smartTag w:uri="urn:schemas-microsoft-com:office:smarttags" w:element="metricconverter">
              <w:smartTagPr>
                <w:attr w:name="ProductID" w:val="05 г"/>
              </w:smartTagPr>
              <w:r w:rsidRPr="005C179D">
                <w:t>05 г</w:t>
              </w:r>
            </w:smartTag>
            <w:r w:rsidRPr="005C179D">
              <w:t xml:space="preserve"> каждые 12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8350" w14:textId="77777777" w:rsidR="00353761" w:rsidRPr="005C179D" w:rsidRDefault="00353761" w:rsidP="005C179D">
            <w:pPr>
              <w:jc w:val="center"/>
            </w:pPr>
            <w:r w:rsidRPr="005C179D">
              <w:t>1,3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679B" w14:textId="77777777" w:rsidR="00353761" w:rsidRPr="005C179D" w:rsidRDefault="00353761" w:rsidP="005C179D">
            <w:pPr>
              <w:jc w:val="center"/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B9374" w14:textId="77777777" w:rsidR="00353761" w:rsidRPr="005C179D" w:rsidRDefault="00353761" w:rsidP="005C179D">
            <w:pPr>
              <w:jc w:val="center"/>
            </w:pPr>
            <w:r w:rsidRPr="005C179D">
              <w:t>35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4A36E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2765BF45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74E4B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3-го поколения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63B7" w14:textId="77777777" w:rsidR="00353761" w:rsidRPr="005C179D" w:rsidRDefault="00353761" w:rsidP="005C179D">
            <w:pPr>
              <w:jc w:val="both"/>
              <w:rPr>
                <w:b/>
                <w:bCs/>
              </w:rPr>
            </w:pPr>
            <w:r w:rsidRPr="005C179D">
              <w:rPr>
                <w:b/>
                <w:bCs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566D5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6BCE4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9438E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1786E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</w:tr>
      <w:tr w:rsidR="00353761" w:rsidRPr="005C179D" w14:paraId="3374C92E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9376" w14:textId="77777777" w:rsidR="00353761" w:rsidRPr="005C179D" w:rsidRDefault="00353761" w:rsidP="005C179D">
            <w:pPr>
              <w:jc w:val="both"/>
            </w:pPr>
            <w:r w:rsidRPr="005C179D">
              <w:t>цефотаксим (клафоран)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0BDBA" w14:textId="77777777" w:rsidR="00353761" w:rsidRPr="005C179D" w:rsidRDefault="00353761" w:rsidP="005C179D">
            <w:pPr>
              <w:jc w:val="both"/>
            </w:pPr>
            <w:smartTag w:uri="urn:schemas-microsoft-com:office:smarttags" w:element="metricconverter">
              <w:smartTagPr>
                <w:attr w:name="ProductID" w:val="2 г"/>
              </w:smartTagPr>
              <w:r w:rsidRPr="005C179D">
                <w:t>2 г</w:t>
              </w:r>
            </w:smartTag>
            <w:r w:rsidRPr="005C179D">
              <w:t xml:space="preserve"> каждые 6-8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7AAF" w14:textId="77777777" w:rsidR="00353761" w:rsidRPr="005C179D" w:rsidRDefault="00353761" w:rsidP="005C179D">
            <w:pPr>
              <w:jc w:val="center"/>
            </w:pPr>
            <w:r w:rsidRPr="005C179D">
              <w:t>1,0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E7DFE" w14:textId="77777777" w:rsidR="00353761" w:rsidRPr="005C179D" w:rsidRDefault="00353761" w:rsidP="005C179D">
            <w:pPr>
              <w:jc w:val="center"/>
            </w:pPr>
            <w:r w:rsidRPr="005C179D">
              <w:t>5,6-44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43AC3" w14:textId="77777777" w:rsidR="00353761" w:rsidRPr="005C179D" w:rsidRDefault="00353761" w:rsidP="005C179D">
            <w:pPr>
              <w:jc w:val="center"/>
            </w:pPr>
            <w:r w:rsidRPr="005C179D">
              <w:t>35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F1B3E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2CF4DB88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6B145" w14:textId="77777777" w:rsidR="00353761" w:rsidRPr="005C179D" w:rsidRDefault="00353761" w:rsidP="005C179D">
            <w:pPr>
              <w:jc w:val="both"/>
            </w:pPr>
            <w:r w:rsidRPr="005C179D">
              <w:t>цефтазидим (фортум)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B6972" w14:textId="77777777" w:rsidR="00353761" w:rsidRPr="005C179D" w:rsidRDefault="00353761" w:rsidP="005C179D">
            <w:pPr>
              <w:jc w:val="both"/>
            </w:pPr>
            <w:smartTag w:uri="urn:schemas-microsoft-com:office:smarttags" w:element="metricconverter">
              <w:smartTagPr>
                <w:attr w:name="ProductID" w:val="2 г"/>
              </w:smartTagPr>
              <w:r w:rsidRPr="005C179D">
                <w:t>2 г</w:t>
              </w:r>
            </w:smartTag>
            <w:r w:rsidRPr="005C179D">
              <w:t xml:space="preserve"> каждые 8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94242" w14:textId="77777777" w:rsidR="00353761" w:rsidRPr="005C179D" w:rsidRDefault="00353761" w:rsidP="005C179D">
            <w:pPr>
              <w:jc w:val="center"/>
            </w:pPr>
            <w:r w:rsidRPr="005C179D">
              <w:t>1,8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C3F4" w14:textId="77777777" w:rsidR="00353761" w:rsidRPr="005C179D" w:rsidRDefault="00353761" w:rsidP="005C179D">
            <w:pPr>
              <w:jc w:val="center"/>
            </w:pPr>
            <w:r w:rsidRPr="005C179D">
              <w:t>0,5-30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D49A6" w14:textId="77777777" w:rsidR="00353761" w:rsidRPr="005C179D" w:rsidRDefault="00353761" w:rsidP="005C179D">
            <w:pPr>
              <w:jc w:val="center"/>
            </w:pPr>
            <w:r w:rsidRPr="005C179D">
              <w:t>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2F43" w14:textId="77777777" w:rsidR="00353761" w:rsidRPr="005C179D" w:rsidRDefault="00353761" w:rsidP="005C179D">
            <w:pPr>
              <w:jc w:val="center"/>
            </w:pPr>
            <w:r w:rsidRPr="005C179D">
              <w:t>Почки</w:t>
            </w:r>
          </w:p>
        </w:tc>
      </w:tr>
      <w:tr w:rsidR="00353761" w:rsidRPr="005C179D" w14:paraId="3859A1D5" w14:textId="77777777">
        <w:trPr>
          <w:tblCellSpacing w:w="15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6C11B" w14:textId="77777777" w:rsidR="00353761" w:rsidRPr="005C179D" w:rsidRDefault="00353761" w:rsidP="005C179D">
            <w:pPr>
              <w:jc w:val="both"/>
            </w:pPr>
            <w:r w:rsidRPr="005C179D">
              <w:t>цефтриаксон (р</w:t>
            </w:r>
            <w:r w:rsidRPr="005C179D">
              <w:t>о</w:t>
            </w:r>
            <w:r w:rsidRPr="005C179D">
              <w:t>цефин)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B0B57" w14:textId="77777777" w:rsidR="00353761" w:rsidRPr="005C179D" w:rsidRDefault="00353761" w:rsidP="005C179D">
            <w:pPr>
              <w:jc w:val="both"/>
            </w:pPr>
            <w:r w:rsidRPr="005C179D">
              <w:t>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179D">
                <w:t>2 г</w:t>
              </w:r>
            </w:smartTag>
            <w:r w:rsidRPr="005C179D">
              <w:t xml:space="preserve"> каждые 12 ч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DCFA" w14:textId="77777777" w:rsidR="00353761" w:rsidRPr="005C179D" w:rsidRDefault="00353761" w:rsidP="005C179D">
            <w:pPr>
              <w:jc w:val="center"/>
            </w:pPr>
            <w:r w:rsidRPr="005C179D">
              <w:t>8,0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02A86" w14:textId="77777777" w:rsidR="00353761" w:rsidRPr="005C179D" w:rsidRDefault="00353761" w:rsidP="005C179D">
            <w:pPr>
              <w:jc w:val="center"/>
            </w:pPr>
            <w:r w:rsidRPr="005C179D">
              <w:t>1,2-39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C505D" w14:textId="77777777" w:rsidR="00353761" w:rsidRPr="005C179D" w:rsidRDefault="00353761" w:rsidP="005C179D">
            <w:pPr>
              <w:jc w:val="center"/>
            </w:pPr>
            <w:r w:rsidRPr="005C179D">
              <w:t>83-96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D907" w14:textId="77777777" w:rsidR="00353761" w:rsidRPr="005C179D" w:rsidRDefault="00353761" w:rsidP="005C179D">
            <w:pPr>
              <w:jc w:val="center"/>
            </w:pPr>
            <w:r w:rsidRPr="005C179D">
              <w:t>Почки-50% Желчь-40%</w:t>
            </w:r>
          </w:p>
        </w:tc>
      </w:tr>
    </w:tbl>
    <w:p w14:paraId="61A23C5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легко проникают в различные ткани и среды организма, включая ле</w:t>
      </w:r>
      <w:r w:rsidRPr="005C179D">
        <w:rPr>
          <w:color w:val="auto"/>
        </w:rPr>
        <w:t>г</w:t>
      </w:r>
      <w:r w:rsidRPr="005C179D">
        <w:rPr>
          <w:color w:val="auto"/>
        </w:rPr>
        <w:t>кие, органы малого таза, перикард, брюшину, плевру, синовиальные оболочки. С терапевтич</w:t>
      </w:r>
      <w:r w:rsidRPr="005C179D">
        <w:rPr>
          <w:color w:val="auto"/>
        </w:rPr>
        <w:t>е</w:t>
      </w:r>
      <w:r w:rsidRPr="005C179D">
        <w:rPr>
          <w:color w:val="auto"/>
        </w:rPr>
        <w:t>ских позиций большое значение имеет способность ряда цефалоспоринов (цефтриаксон, цеф</w:t>
      </w:r>
      <w:r w:rsidRPr="005C179D">
        <w:rPr>
          <w:color w:val="auto"/>
        </w:rPr>
        <w:t>у</w:t>
      </w:r>
      <w:r w:rsidRPr="005C179D">
        <w:rPr>
          <w:color w:val="auto"/>
        </w:rPr>
        <w:t>роксим, це</w:t>
      </w:r>
      <w:r w:rsidRPr="005C179D">
        <w:rPr>
          <w:color w:val="auto"/>
        </w:rPr>
        <w:t>ф</w:t>
      </w:r>
      <w:r w:rsidRPr="005C179D">
        <w:rPr>
          <w:color w:val="auto"/>
        </w:rPr>
        <w:t>тазидим, цефотаксим) проникать в цереброспинальную жидкость.</w:t>
      </w:r>
    </w:p>
    <w:p w14:paraId="27F2FA1B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Большинство цефалоспоринов выводятся почками; при этом в моче создаются конце</w:t>
      </w:r>
      <w:r w:rsidRPr="005C179D">
        <w:rPr>
          <w:color w:val="auto"/>
        </w:rPr>
        <w:t>н</w:t>
      </w:r>
      <w:r w:rsidRPr="005C179D">
        <w:rPr>
          <w:color w:val="auto"/>
        </w:rPr>
        <w:t>трации этих препаратов, во много раз превышающие минимально ингибирующие для больши</w:t>
      </w:r>
      <w:r w:rsidRPr="005C179D">
        <w:rPr>
          <w:color w:val="auto"/>
        </w:rPr>
        <w:t>н</w:t>
      </w:r>
      <w:r w:rsidRPr="005C179D">
        <w:rPr>
          <w:color w:val="auto"/>
        </w:rPr>
        <w:t>ства актуальных возбудителей инфекций мочевыводящих путей. Вследствие этого в лечении п</w:t>
      </w:r>
      <w:r w:rsidRPr="005C179D">
        <w:rPr>
          <w:color w:val="auto"/>
        </w:rPr>
        <w:t>о</w:t>
      </w:r>
      <w:r w:rsidRPr="005C179D">
        <w:rPr>
          <w:color w:val="auto"/>
        </w:rPr>
        <w:t>следних можно с успехом использовать среднетерапевтические дозы цефалоспоринов, но при снижении клубочковой фильтрации необходима соответствующая коррекция вводимой дозы антибиотика. Исключением из этого правила являются цефтриаксон и цефоперазон, экскрет</w:t>
      </w:r>
      <w:r w:rsidRPr="005C179D">
        <w:rPr>
          <w:color w:val="auto"/>
        </w:rPr>
        <w:t>и</w:t>
      </w:r>
      <w:r w:rsidRPr="005C179D">
        <w:rPr>
          <w:color w:val="auto"/>
        </w:rPr>
        <w:t>руемые преимущ</w:t>
      </w:r>
      <w:r w:rsidRPr="005C179D">
        <w:rPr>
          <w:color w:val="auto"/>
        </w:rPr>
        <w:t>е</w:t>
      </w:r>
      <w:r w:rsidRPr="005C179D">
        <w:rPr>
          <w:color w:val="auto"/>
        </w:rPr>
        <w:t>ственно с желчью. Эти препараты не удаляются при гемодиализе, поэтому при проведении этой процедуры не требуется дополнительного увеличения дозы антибиотика.</w:t>
      </w:r>
    </w:p>
    <w:p w14:paraId="2F719F5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При заболеваниях печени, даже в отсутствие асцита и его влияния на распределение а</w:t>
      </w:r>
      <w:r w:rsidRPr="005C179D">
        <w:rPr>
          <w:color w:val="auto"/>
        </w:rPr>
        <w:t>н</w:t>
      </w:r>
      <w:r w:rsidRPr="005C179D">
        <w:rPr>
          <w:color w:val="auto"/>
        </w:rPr>
        <w:t>тибиотика, существенно нарушается фармакокинетика большинства цефалоспоринов.</w:t>
      </w:r>
    </w:p>
    <w:p w14:paraId="34FBD6E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 отличие от фторхинолонов и аминогликозидов цефалоспорины не оказывают дозоз</w:t>
      </w:r>
      <w:r w:rsidRPr="005C179D">
        <w:rPr>
          <w:color w:val="auto"/>
        </w:rPr>
        <w:t>а</w:t>
      </w:r>
      <w:r w:rsidRPr="005C179D">
        <w:rPr>
          <w:color w:val="auto"/>
        </w:rPr>
        <w:t>висимого бактерицидного действия. При приеме препаратов быстро достигается максимальная концентрация их в сыворотке крови с последующим снижением ее ниже минимальной ингиб</w:t>
      </w:r>
      <w:r w:rsidRPr="005C179D">
        <w:rPr>
          <w:color w:val="auto"/>
        </w:rPr>
        <w:t>и</w:t>
      </w:r>
      <w:r w:rsidRPr="005C179D">
        <w:rPr>
          <w:color w:val="auto"/>
        </w:rPr>
        <w:t>рующей: период полужизни большинства цефалоспоринов составляет 0,5-2 ч, и лишь у цефтр</w:t>
      </w:r>
      <w:r w:rsidRPr="005C179D">
        <w:rPr>
          <w:color w:val="auto"/>
        </w:rPr>
        <w:t>и</w:t>
      </w:r>
      <w:r w:rsidRPr="005C179D">
        <w:rPr>
          <w:color w:val="auto"/>
        </w:rPr>
        <w:t>аксона достигает 8 ч. В связи с этим, а также с непостоянным и непродолжительным постант</w:t>
      </w:r>
      <w:r w:rsidRPr="005C179D">
        <w:rPr>
          <w:color w:val="auto"/>
        </w:rPr>
        <w:t>и</w:t>
      </w:r>
      <w:r w:rsidRPr="005C179D">
        <w:rPr>
          <w:color w:val="auto"/>
        </w:rPr>
        <w:t>биотическим эффектом необходимо строго придерживаться рекомендаций относительно кра</w:t>
      </w:r>
      <w:r w:rsidRPr="005C179D">
        <w:rPr>
          <w:color w:val="auto"/>
        </w:rPr>
        <w:t>т</w:t>
      </w:r>
      <w:r w:rsidRPr="005C179D">
        <w:rPr>
          <w:color w:val="auto"/>
        </w:rPr>
        <w:t>ности введ</w:t>
      </w:r>
      <w:r w:rsidRPr="005C179D">
        <w:rPr>
          <w:color w:val="auto"/>
        </w:rPr>
        <w:t>е</w:t>
      </w:r>
      <w:r w:rsidRPr="005C179D">
        <w:rPr>
          <w:color w:val="auto"/>
        </w:rPr>
        <w:t xml:space="preserve">ния цефалоспоринов. </w:t>
      </w:r>
    </w:p>
    <w:p w14:paraId="3C6F47A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auto"/>
          <w:u w:val="single"/>
        </w:rPr>
      </w:pPr>
      <w:r w:rsidRPr="005C179D">
        <w:br w:type="page"/>
      </w:r>
      <w:r w:rsidRPr="005C179D">
        <w:rPr>
          <w:b/>
          <w:bCs/>
          <w:color w:val="auto"/>
          <w:u w:val="single"/>
        </w:rPr>
        <w:t>Цефалоспорины 1-го поколения</w:t>
      </w:r>
    </w:p>
    <w:p w14:paraId="141C002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1-го поколения обладают высокой активностью против грамполож</w:t>
      </w:r>
      <w:r w:rsidRPr="005C179D">
        <w:rPr>
          <w:color w:val="auto"/>
        </w:rPr>
        <w:t>и</w:t>
      </w:r>
      <w:r w:rsidRPr="005C179D">
        <w:rPr>
          <w:color w:val="auto"/>
        </w:rPr>
        <w:t>тельных кокков и умеренной в отношении M.catarrhalis, E.coli, P.mirabilis, K.pneumoniae. Штаммы Bacteroides fragilis резистентны к действию цефалоспоринов 1-го поколения. Препар</w:t>
      </w:r>
      <w:r w:rsidRPr="005C179D">
        <w:rPr>
          <w:color w:val="auto"/>
        </w:rPr>
        <w:t>а</w:t>
      </w:r>
      <w:r w:rsidRPr="005C179D">
        <w:rPr>
          <w:color w:val="auto"/>
        </w:rPr>
        <w:t>ты этой группы практически неактивны в отношении H.influenzae, метициллинрезистентных стафил</w:t>
      </w:r>
      <w:r w:rsidRPr="005C179D">
        <w:rPr>
          <w:color w:val="auto"/>
        </w:rPr>
        <w:t>о</w:t>
      </w:r>
      <w:r w:rsidRPr="005C179D">
        <w:rPr>
          <w:color w:val="auto"/>
        </w:rPr>
        <w:t>кокков, пенициллинрезистентных пневмококков и энтерококков. Антибактериальная акти</w:t>
      </w:r>
      <w:r w:rsidRPr="005C179D">
        <w:rPr>
          <w:color w:val="auto"/>
        </w:rPr>
        <w:t>в</w:t>
      </w:r>
      <w:r w:rsidRPr="005C179D">
        <w:rPr>
          <w:color w:val="auto"/>
        </w:rPr>
        <w:t>ность цефалоспоринов 1-го поколения, вводимых внутрь и парентерально, практически один</w:t>
      </w:r>
      <w:r w:rsidRPr="005C179D">
        <w:rPr>
          <w:color w:val="auto"/>
        </w:rPr>
        <w:t>а</w:t>
      </w:r>
      <w:r w:rsidRPr="005C179D">
        <w:rPr>
          <w:color w:val="auto"/>
        </w:rPr>
        <w:t>кова (табл. 4).</w:t>
      </w:r>
    </w:p>
    <w:p w14:paraId="113E73AB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4. Антимикробная активность цефалоспоринов 1-го поколения</w:t>
      </w:r>
    </w:p>
    <w:tbl>
      <w:tblPr>
        <w:tblW w:w="888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470"/>
        <w:gridCol w:w="1470"/>
        <w:gridCol w:w="1485"/>
        <w:gridCol w:w="1485"/>
      </w:tblGrid>
      <w:tr w:rsidR="00353761" w:rsidRPr="005C179D" w14:paraId="5B2D89EE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23E83400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E1FA56A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1</w:t>
            </w:r>
          </w:p>
        </w:tc>
        <w:tc>
          <w:tcPr>
            <w:tcW w:w="1470" w:type="dxa"/>
            <w:vAlign w:val="center"/>
          </w:tcPr>
          <w:p w14:paraId="3F199CF0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2</w:t>
            </w:r>
          </w:p>
        </w:tc>
        <w:tc>
          <w:tcPr>
            <w:tcW w:w="1485" w:type="dxa"/>
            <w:vAlign w:val="center"/>
          </w:tcPr>
          <w:p w14:paraId="54A67D53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3</w:t>
            </w:r>
          </w:p>
        </w:tc>
        <w:tc>
          <w:tcPr>
            <w:tcW w:w="1485" w:type="dxa"/>
            <w:vAlign w:val="center"/>
          </w:tcPr>
          <w:p w14:paraId="1222C6B3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4</w:t>
            </w:r>
          </w:p>
        </w:tc>
      </w:tr>
      <w:tr w:rsidR="00353761" w:rsidRPr="005C179D" w14:paraId="1F718FE4" w14:textId="77777777">
        <w:trPr>
          <w:cantSplit/>
          <w:tblCellSpacing w:w="0" w:type="dxa"/>
          <w:jc w:val="center"/>
        </w:trPr>
        <w:tc>
          <w:tcPr>
            <w:tcW w:w="8882" w:type="dxa"/>
            <w:gridSpan w:val="5"/>
            <w:vAlign w:val="center"/>
          </w:tcPr>
          <w:p w14:paraId="7D11658B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</w:rPr>
            </w:pPr>
            <w:r w:rsidRPr="005C179D">
              <w:rPr>
                <w:szCs w:val="24"/>
              </w:rPr>
              <w:t>Грамположительные микроорганизмы</w:t>
            </w:r>
          </w:p>
        </w:tc>
      </w:tr>
      <w:tr w:rsidR="00353761" w:rsidRPr="005C179D" w14:paraId="3FF5DEA4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62A9E42F" w14:textId="77777777" w:rsidR="00353761" w:rsidRPr="005C179D" w:rsidRDefault="00353761" w:rsidP="005C179D">
            <w:pPr>
              <w:jc w:val="both"/>
            </w:pPr>
            <w:r w:rsidRPr="005C179D">
              <w:t>St. aureus</w:t>
            </w:r>
          </w:p>
        </w:tc>
        <w:tc>
          <w:tcPr>
            <w:tcW w:w="1470" w:type="dxa"/>
            <w:vAlign w:val="center"/>
          </w:tcPr>
          <w:p w14:paraId="2AA3CE6B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70" w:type="dxa"/>
            <w:vAlign w:val="center"/>
          </w:tcPr>
          <w:p w14:paraId="6932B590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85" w:type="dxa"/>
            <w:vAlign w:val="center"/>
          </w:tcPr>
          <w:p w14:paraId="596C3538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85" w:type="dxa"/>
            <w:vAlign w:val="center"/>
          </w:tcPr>
          <w:p w14:paraId="2742925E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</w:tr>
      <w:tr w:rsidR="00353761" w:rsidRPr="005C179D" w14:paraId="45D6C951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566AFFC9" w14:textId="77777777" w:rsidR="00353761" w:rsidRPr="005C179D" w:rsidRDefault="00353761" w:rsidP="005C179D">
            <w:pPr>
              <w:jc w:val="both"/>
            </w:pPr>
            <w:r w:rsidRPr="005C179D">
              <w:t>Streptococci</w:t>
            </w:r>
          </w:p>
        </w:tc>
        <w:tc>
          <w:tcPr>
            <w:tcW w:w="1470" w:type="dxa"/>
            <w:vAlign w:val="center"/>
          </w:tcPr>
          <w:p w14:paraId="61E3A36D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70" w:type="dxa"/>
            <w:vAlign w:val="center"/>
          </w:tcPr>
          <w:p w14:paraId="75016B87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85" w:type="dxa"/>
            <w:vAlign w:val="center"/>
          </w:tcPr>
          <w:p w14:paraId="52871F90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85" w:type="dxa"/>
            <w:vAlign w:val="center"/>
          </w:tcPr>
          <w:p w14:paraId="24D2CB87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</w:tr>
      <w:tr w:rsidR="00353761" w:rsidRPr="005C179D" w14:paraId="6BF74347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5BF60902" w14:textId="77777777" w:rsidR="00353761" w:rsidRPr="005C179D" w:rsidRDefault="00353761" w:rsidP="005C179D">
            <w:pPr>
              <w:jc w:val="both"/>
            </w:pPr>
            <w:r w:rsidRPr="005C179D">
              <w:t>Enterococci</w:t>
            </w:r>
          </w:p>
        </w:tc>
        <w:tc>
          <w:tcPr>
            <w:tcW w:w="1470" w:type="dxa"/>
            <w:vAlign w:val="center"/>
          </w:tcPr>
          <w:p w14:paraId="08C470BD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0" w:type="dxa"/>
            <w:vAlign w:val="center"/>
          </w:tcPr>
          <w:p w14:paraId="7325C26C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5" w:type="dxa"/>
            <w:vAlign w:val="center"/>
          </w:tcPr>
          <w:p w14:paraId="0AA0992E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5" w:type="dxa"/>
            <w:vAlign w:val="center"/>
          </w:tcPr>
          <w:p w14:paraId="4E213B93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  <w:tr w:rsidR="00353761" w:rsidRPr="005C179D" w14:paraId="3FECC48B" w14:textId="77777777">
        <w:trPr>
          <w:cantSplit/>
          <w:tblCellSpacing w:w="0" w:type="dxa"/>
          <w:jc w:val="center"/>
        </w:trPr>
        <w:tc>
          <w:tcPr>
            <w:tcW w:w="8882" w:type="dxa"/>
            <w:gridSpan w:val="5"/>
            <w:vAlign w:val="center"/>
          </w:tcPr>
          <w:p w14:paraId="07DCE293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</w:rPr>
            </w:pPr>
            <w:r w:rsidRPr="005C179D">
              <w:rPr>
                <w:szCs w:val="24"/>
              </w:rPr>
              <w:t>Грамотрицательные микроорганизмы</w:t>
            </w:r>
          </w:p>
        </w:tc>
      </w:tr>
      <w:tr w:rsidR="00353761" w:rsidRPr="005C179D" w14:paraId="6F7050BF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793CE99A" w14:textId="77777777" w:rsidR="00353761" w:rsidRPr="005C179D" w:rsidRDefault="00353761" w:rsidP="005C179D">
            <w:pPr>
              <w:jc w:val="both"/>
            </w:pPr>
            <w:r w:rsidRPr="005C179D">
              <w:rPr>
                <w:lang w:val="en-US"/>
              </w:rPr>
              <w:t>Haemophilus</w:t>
            </w:r>
            <w:r w:rsidRPr="005C179D">
              <w:t xml:space="preserve"> </w:t>
            </w:r>
            <w:r w:rsidRPr="005C179D">
              <w:rPr>
                <w:lang w:val="en-US"/>
              </w:rPr>
              <w:t>influenzae</w:t>
            </w:r>
          </w:p>
        </w:tc>
        <w:tc>
          <w:tcPr>
            <w:tcW w:w="1470" w:type="dxa"/>
            <w:vAlign w:val="center"/>
          </w:tcPr>
          <w:p w14:paraId="30DAA25F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70" w:type="dxa"/>
            <w:vAlign w:val="center"/>
          </w:tcPr>
          <w:p w14:paraId="4E93DFD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1A001AD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1111B59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3A2B3F67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42D6A8FF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E.coli</w:t>
            </w:r>
          </w:p>
        </w:tc>
        <w:tc>
          <w:tcPr>
            <w:tcW w:w="1470" w:type="dxa"/>
            <w:vAlign w:val="center"/>
          </w:tcPr>
          <w:p w14:paraId="401E10F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70" w:type="dxa"/>
            <w:vAlign w:val="center"/>
          </w:tcPr>
          <w:p w14:paraId="5C7E5EE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5" w:type="dxa"/>
            <w:vAlign w:val="center"/>
          </w:tcPr>
          <w:p w14:paraId="770C799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34A1B1B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28985E43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282C134F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Klebsiella ssp.</w:t>
            </w:r>
          </w:p>
        </w:tc>
        <w:tc>
          <w:tcPr>
            <w:tcW w:w="1470" w:type="dxa"/>
            <w:vAlign w:val="center"/>
          </w:tcPr>
          <w:p w14:paraId="3DED7CB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70" w:type="dxa"/>
            <w:vAlign w:val="center"/>
          </w:tcPr>
          <w:p w14:paraId="5AD6491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5" w:type="dxa"/>
            <w:vAlign w:val="center"/>
          </w:tcPr>
          <w:p w14:paraId="69BF555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6C3AD8B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60763B25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78650754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Serratia marcescens</w:t>
            </w:r>
          </w:p>
        </w:tc>
        <w:tc>
          <w:tcPr>
            <w:tcW w:w="1470" w:type="dxa"/>
            <w:vAlign w:val="center"/>
          </w:tcPr>
          <w:p w14:paraId="56D71D4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70" w:type="dxa"/>
            <w:vAlign w:val="center"/>
          </w:tcPr>
          <w:p w14:paraId="158BC92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2EB076C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42CA283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344C4405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32C7E0DF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Proteus mirabilis</w:t>
            </w:r>
          </w:p>
        </w:tc>
        <w:tc>
          <w:tcPr>
            <w:tcW w:w="1470" w:type="dxa"/>
            <w:vAlign w:val="center"/>
          </w:tcPr>
          <w:p w14:paraId="390A8A1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70" w:type="dxa"/>
            <w:vAlign w:val="center"/>
          </w:tcPr>
          <w:p w14:paraId="6460DF0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73594311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426EEB7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67B1C76A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6CDA3D18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Pseudomonas aeruginosa</w:t>
            </w:r>
          </w:p>
        </w:tc>
        <w:tc>
          <w:tcPr>
            <w:tcW w:w="1470" w:type="dxa"/>
            <w:vAlign w:val="center"/>
          </w:tcPr>
          <w:p w14:paraId="0B66B44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70" w:type="dxa"/>
            <w:vAlign w:val="center"/>
          </w:tcPr>
          <w:p w14:paraId="7E1F240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0BB5A2F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85" w:type="dxa"/>
            <w:vAlign w:val="center"/>
          </w:tcPr>
          <w:p w14:paraId="5238CA3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5DAD5F16" w14:textId="77777777">
        <w:trPr>
          <w:cantSplit/>
          <w:tblCellSpacing w:w="0" w:type="dxa"/>
          <w:jc w:val="center"/>
        </w:trPr>
        <w:tc>
          <w:tcPr>
            <w:tcW w:w="8882" w:type="dxa"/>
            <w:gridSpan w:val="5"/>
            <w:vAlign w:val="center"/>
          </w:tcPr>
          <w:p w14:paraId="2A3C12E3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  <w:lang w:val="en-US"/>
              </w:rPr>
            </w:pPr>
            <w:r w:rsidRPr="005C179D">
              <w:rPr>
                <w:szCs w:val="24"/>
              </w:rPr>
              <w:t>Анаэробы</w:t>
            </w:r>
          </w:p>
        </w:tc>
      </w:tr>
      <w:tr w:rsidR="00353761" w:rsidRPr="005C179D" w14:paraId="6C0F44DD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5F25B9EA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Clostridii</w:t>
            </w:r>
          </w:p>
        </w:tc>
        <w:tc>
          <w:tcPr>
            <w:tcW w:w="1470" w:type="dxa"/>
            <w:vAlign w:val="center"/>
          </w:tcPr>
          <w:p w14:paraId="455A279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70" w:type="dxa"/>
            <w:vAlign w:val="center"/>
          </w:tcPr>
          <w:p w14:paraId="2EACAC2F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31565DF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1485" w:type="dxa"/>
            <w:vAlign w:val="center"/>
          </w:tcPr>
          <w:p w14:paraId="5960A7B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2EF6FCD8" w14:textId="77777777">
        <w:trPr>
          <w:tblCellSpacing w:w="0" w:type="dxa"/>
          <w:jc w:val="center"/>
        </w:trPr>
        <w:tc>
          <w:tcPr>
            <w:tcW w:w="2972" w:type="dxa"/>
            <w:vAlign w:val="center"/>
          </w:tcPr>
          <w:p w14:paraId="20D1B844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Bacteroides fragilis</w:t>
            </w:r>
          </w:p>
        </w:tc>
        <w:tc>
          <w:tcPr>
            <w:tcW w:w="1470" w:type="dxa"/>
            <w:vAlign w:val="center"/>
          </w:tcPr>
          <w:p w14:paraId="2896C46C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0" w:type="dxa"/>
            <w:vAlign w:val="center"/>
          </w:tcPr>
          <w:p w14:paraId="3AFA3428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5" w:type="dxa"/>
            <w:vAlign w:val="center"/>
          </w:tcPr>
          <w:p w14:paraId="2BAFC2F7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5" w:type="dxa"/>
            <w:vAlign w:val="center"/>
          </w:tcPr>
          <w:p w14:paraId="10D74ECE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</w:tbl>
    <w:p w14:paraId="544EB34C" w14:textId="77777777" w:rsidR="00353761" w:rsidRPr="005C179D" w:rsidRDefault="00353761" w:rsidP="005C179D">
      <w:pPr>
        <w:jc w:val="both"/>
        <w:rPr>
          <w:vanish/>
        </w:rPr>
      </w:pPr>
    </w:p>
    <w:tbl>
      <w:tblPr>
        <w:tblW w:w="764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603"/>
      </w:tblGrid>
      <w:tr w:rsidR="00353761" w:rsidRPr="005C179D" w14:paraId="681C1CB8" w14:textId="77777777">
        <w:trPr>
          <w:cantSplit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A4159BA" w14:textId="77777777" w:rsidR="00353761" w:rsidRPr="005C179D" w:rsidRDefault="00353761" w:rsidP="005C179D">
            <w:pPr>
              <w:rPr>
                <w:b/>
                <w:bCs/>
              </w:rPr>
            </w:pPr>
            <w:r w:rsidRPr="005C179D">
              <w:rPr>
                <w:b/>
                <w:bCs/>
              </w:rPr>
              <w:t>Примечание:</w:t>
            </w:r>
          </w:p>
        </w:tc>
      </w:tr>
      <w:tr w:rsidR="00353761" w:rsidRPr="005C179D" w14:paraId="3BA044C0" w14:textId="77777777">
        <w:trPr>
          <w:cantSplit/>
          <w:tblCellSpacing w:w="0" w:type="dxa"/>
          <w:jc w:val="center"/>
        </w:trPr>
        <w:tc>
          <w:tcPr>
            <w:tcW w:w="3297" w:type="pct"/>
            <w:vAlign w:val="center"/>
          </w:tcPr>
          <w:p w14:paraId="1986AB1E" w14:textId="77777777" w:rsidR="00353761" w:rsidRPr="005C179D" w:rsidRDefault="00353761" w:rsidP="005C179D">
            <w:pPr>
              <w:pStyle w:val="a4"/>
              <w:spacing w:before="0" w:beforeAutospacing="0" w:after="120" w:afterAutospacing="0"/>
              <w:rPr>
                <w:color w:val="auto"/>
              </w:rPr>
            </w:pPr>
            <w:r w:rsidRPr="005C179D">
              <w:rPr>
                <w:color w:val="auto"/>
              </w:rPr>
              <w:t xml:space="preserve">Парентеральные: </w:t>
            </w:r>
          </w:p>
          <w:p w14:paraId="5E5F636E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ind w:firstLine="345"/>
              <w:rPr>
                <w:color w:val="auto"/>
              </w:rPr>
            </w:pPr>
            <w:r w:rsidRPr="005C179D">
              <w:rPr>
                <w:color w:val="auto"/>
              </w:rPr>
              <w:t>1. Цефалотин</w:t>
            </w:r>
          </w:p>
          <w:p w14:paraId="0C766262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ind w:firstLine="345"/>
              <w:rPr>
                <w:color w:val="auto"/>
              </w:rPr>
            </w:pPr>
            <w:r w:rsidRPr="005C179D">
              <w:rPr>
                <w:color w:val="auto"/>
              </w:rPr>
              <w:t>2. Цефазолин (кефзол, цезолин, цефамезин)</w:t>
            </w:r>
          </w:p>
          <w:p w14:paraId="34A900E6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ind w:firstLine="345"/>
              <w:rPr>
                <w:color w:val="auto"/>
              </w:rPr>
            </w:pPr>
            <w:r w:rsidRPr="005C179D">
              <w:rPr>
                <w:color w:val="auto"/>
              </w:rPr>
              <w:t xml:space="preserve">3. Цефапирин (цефрадил) </w:t>
            </w:r>
          </w:p>
        </w:tc>
        <w:tc>
          <w:tcPr>
            <w:tcW w:w="1703" w:type="pct"/>
            <w:vMerge w:val="restart"/>
          </w:tcPr>
          <w:p w14:paraId="52945357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$$$ - очень хорошая</w:t>
            </w:r>
          </w:p>
          <w:p w14:paraId="1F4E1E01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$$- хорошая</w:t>
            </w:r>
          </w:p>
          <w:p w14:paraId="12E1C756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$- слабая</w:t>
            </w:r>
          </w:p>
          <w:p w14:paraId="7AA8DFD7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  <w:lang w:val="en-US"/>
              </w:rPr>
            </w:pPr>
            <w:r w:rsidRPr="005C179D">
              <w:rPr>
                <w:color w:val="auto"/>
              </w:rPr>
              <w:t>&amp;- действие отсутствует</w:t>
            </w:r>
          </w:p>
        </w:tc>
      </w:tr>
      <w:tr w:rsidR="00353761" w:rsidRPr="005C179D" w14:paraId="05D7D3E5" w14:textId="77777777">
        <w:trPr>
          <w:cantSplit/>
          <w:tblCellSpacing w:w="0" w:type="dxa"/>
          <w:jc w:val="center"/>
        </w:trPr>
        <w:tc>
          <w:tcPr>
            <w:tcW w:w="3297" w:type="pct"/>
            <w:vAlign w:val="center"/>
          </w:tcPr>
          <w:p w14:paraId="0E7A4727" w14:textId="77777777" w:rsidR="00353761" w:rsidRPr="005C179D" w:rsidRDefault="00353761" w:rsidP="005C179D">
            <w:pPr>
              <w:pStyle w:val="a4"/>
              <w:spacing w:before="0" w:beforeAutospacing="0" w:after="120" w:afterAutospacing="0"/>
              <w:rPr>
                <w:color w:val="auto"/>
              </w:rPr>
            </w:pPr>
            <w:r w:rsidRPr="005C179D">
              <w:rPr>
                <w:color w:val="auto"/>
              </w:rPr>
              <w:t>Энтеральные</w:t>
            </w:r>
          </w:p>
          <w:p w14:paraId="04086F00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ind w:firstLine="345"/>
              <w:rPr>
                <w:color w:val="auto"/>
              </w:rPr>
            </w:pPr>
            <w:r w:rsidRPr="005C179D">
              <w:rPr>
                <w:color w:val="auto"/>
              </w:rPr>
              <w:t xml:space="preserve">4. Цефалексин </w:t>
            </w:r>
          </w:p>
        </w:tc>
        <w:tc>
          <w:tcPr>
            <w:tcW w:w="1703" w:type="pct"/>
            <w:vMerge/>
          </w:tcPr>
          <w:p w14:paraId="5296FF95" w14:textId="77777777" w:rsidR="00353761" w:rsidRPr="005C179D" w:rsidRDefault="00353761" w:rsidP="005C179D"/>
        </w:tc>
      </w:tr>
    </w:tbl>
    <w:p w14:paraId="43E8A6B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Цефалотин (кефлин) - антибиотик, предназначенный для парентерального введения, к</w:t>
      </w:r>
      <w:r w:rsidRPr="005C179D">
        <w:rPr>
          <w:color w:val="auto"/>
        </w:rPr>
        <w:t>о</w:t>
      </w:r>
      <w:r w:rsidRPr="005C179D">
        <w:rPr>
          <w:color w:val="auto"/>
        </w:rPr>
        <w:t>торый хорошо распределяется в различных тканях и средах организма, за исключением цере</w:t>
      </w:r>
      <w:r w:rsidRPr="005C179D">
        <w:rPr>
          <w:color w:val="auto"/>
        </w:rPr>
        <w:t>б</w:t>
      </w:r>
      <w:r w:rsidRPr="005C179D">
        <w:rPr>
          <w:color w:val="auto"/>
        </w:rPr>
        <w:t>роспинальной жидкости. Цефалотин меньше других цефалоспоринов 1-го поколения подве</w:t>
      </w:r>
      <w:r w:rsidRPr="005C179D">
        <w:rPr>
          <w:color w:val="auto"/>
        </w:rPr>
        <w:t>р</w:t>
      </w:r>
      <w:r w:rsidRPr="005C179D">
        <w:rPr>
          <w:color w:val="auto"/>
        </w:rPr>
        <w:t>жен гидролизу стафилококковыми бета-лактамазами, в связи с чем его считают оптимальным антибиотиком класса цефалоспоринов для лечения стафилококкового эндокардита и иных н</w:t>
      </w:r>
      <w:r w:rsidRPr="005C179D">
        <w:rPr>
          <w:color w:val="auto"/>
        </w:rPr>
        <w:t>е</w:t>
      </w:r>
      <w:r w:rsidRPr="005C179D">
        <w:rPr>
          <w:color w:val="auto"/>
        </w:rPr>
        <w:t>менингеальных и</w:t>
      </w:r>
      <w:r w:rsidRPr="005C179D">
        <w:rPr>
          <w:color w:val="auto"/>
        </w:rPr>
        <w:t>н</w:t>
      </w:r>
      <w:r w:rsidRPr="005C179D">
        <w:rPr>
          <w:color w:val="auto"/>
        </w:rPr>
        <w:t>фекций стафилококкового происхождения.</w:t>
      </w:r>
      <w:r w:rsidRPr="005C179D">
        <w:rPr>
          <w:b/>
          <w:bCs/>
          <w:i/>
          <w:iCs/>
          <w:color w:val="auto"/>
        </w:rPr>
        <w:t xml:space="preserve"> </w:t>
      </w:r>
    </w:p>
    <w:p w14:paraId="4F50D95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Цефазолин (кефзол) по спектру антимикробной активности близок к цефалотину (объе</w:t>
      </w:r>
      <w:r w:rsidRPr="005C179D">
        <w:rPr>
          <w:color w:val="auto"/>
        </w:rPr>
        <w:t>к</w:t>
      </w:r>
      <w:r w:rsidRPr="005C179D">
        <w:rPr>
          <w:color w:val="auto"/>
        </w:rPr>
        <w:t>тивно последний более эффективен в отношении E.coli и Klebsiella spp.). Цефазолин более уя</w:t>
      </w:r>
      <w:r w:rsidRPr="005C179D">
        <w:rPr>
          <w:color w:val="auto"/>
        </w:rPr>
        <w:t>з</w:t>
      </w:r>
      <w:r w:rsidRPr="005C179D">
        <w:rPr>
          <w:color w:val="auto"/>
        </w:rPr>
        <w:t>вим для деградирующего действия стафилококковых бета-лактамаз. Благодаря улучшенным фармакокин</w:t>
      </w:r>
      <w:r w:rsidRPr="005C179D">
        <w:rPr>
          <w:color w:val="auto"/>
        </w:rPr>
        <w:t>е</w:t>
      </w:r>
      <w:r w:rsidRPr="005C179D">
        <w:rPr>
          <w:color w:val="auto"/>
        </w:rPr>
        <w:t>тическим показателям, позволяющим назначать препарат 3 раза в сутки, хорошей переносимости при внутривенном и внутримышечном введении цефазолин остается самым п</w:t>
      </w:r>
      <w:r w:rsidRPr="005C179D">
        <w:rPr>
          <w:color w:val="auto"/>
        </w:rPr>
        <w:t>о</w:t>
      </w:r>
      <w:r w:rsidRPr="005C179D">
        <w:rPr>
          <w:color w:val="auto"/>
        </w:rPr>
        <w:t>пулярным цефало</w:t>
      </w:r>
      <w:r w:rsidRPr="005C179D">
        <w:rPr>
          <w:color w:val="auto"/>
        </w:rPr>
        <w:t>с</w:t>
      </w:r>
      <w:r w:rsidRPr="005C179D">
        <w:rPr>
          <w:color w:val="auto"/>
        </w:rPr>
        <w:t>порином 1-го поколения для парентерального введения.</w:t>
      </w:r>
    </w:p>
    <w:p w14:paraId="6BAE485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Цефалексин (кефлекс) - антибиотик, предназначенный для приема внутрь, обладающий способностью быстро абсорбироваться из желудочно-кишечного тракта. Максимальная ко</w:t>
      </w:r>
      <w:r w:rsidRPr="005C179D">
        <w:rPr>
          <w:color w:val="auto"/>
        </w:rPr>
        <w:t>н</w:t>
      </w:r>
      <w:r w:rsidRPr="005C179D">
        <w:rPr>
          <w:color w:val="auto"/>
        </w:rPr>
        <w:t xml:space="preserve">центрация препарата в сыворотке крови отмечается через 1 ч после приема </w:t>
      </w:r>
      <w:smartTag w:uri="urn:schemas-microsoft-com:office:smarttags" w:element="metricconverter">
        <w:smartTagPr>
          <w:attr w:name="ProductID" w:val="0,5 г"/>
        </w:smartTagPr>
        <w:r w:rsidRPr="005C179D">
          <w:rPr>
            <w:color w:val="auto"/>
          </w:rPr>
          <w:t>0,5 г</w:t>
        </w:r>
      </w:smartTag>
      <w:r w:rsidRPr="005C179D">
        <w:rPr>
          <w:color w:val="auto"/>
        </w:rPr>
        <w:t xml:space="preserve"> его. Период полужизни цефалексина в сыворотке крови составляет около 50 мин. Более 90% препарата п</w:t>
      </w:r>
      <w:r w:rsidRPr="005C179D">
        <w:rPr>
          <w:color w:val="auto"/>
        </w:rPr>
        <w:t>о</w:t>
      </w:r>
      <w:r w:rsidRPr="005C179D">
        <w:rPr>
          <w:color w:val="auto"/>
        </w:rPr>
        <w:t>средством клубочковой фильтрации и канальцевой секреции выводятся с мочой в неизмене</w:t>
      </w:r>
      <w:r w:rsidRPr="005C179D">
        <w:rPr>
          <w:color w:val="auto"/>
        </w:rPr>
        <w:t>н</w:t>
      </w:r>
      <w:r w:rsidRPr="005C179D">
        <w:rPr>
          <w:color w:val="auto"/>
        </w:rPr>
        <w:t>ном виде. Цефалексин легко проникает в интерстициальную и внутриглазную жидкости, слиз</w:t>
      </w:r>
      <w:r w:rsidRPr="005C179D">
        <w:rPr>
          <w:color w:val="auto"/>
        </w:rPr>
        <w:t>и</w:t>
      </w:r>
      <w:r w:rsidRPr="005C179D">
        <w:rPr>
          <w:color w:val="auto"/>
        </w:rPr>
        <w:t>стую оболочку и секрет околоносовых пазух, но плохо - в цереброспинальную жидкость.</w:t>
      </w:r>
    </w:p>
    <w:p w14:paraId="181A808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b/>
          <w:bCs/>
          <w:color w:val="auto"/>
        </w:rPr>
        <w:t>Клиническое применение цефалоспоринов 1-го поколения.</w:t>
      </w:r>
      <w:r w:rsidRPr="005C179D">
        <w:rPr>
          <w:color w:val="auto"/>
        </w:rPr>
        <w:t xml:space="preserve"> Цефалоспорины 1-го п</w:t>
      </w:r>
      <w:r w:rsidRPr="005C179D">
        <w:rPr>
          <w:color w:val="auto"/>
        </w:rPr>
        <w:t>о</w:t>
      </w:r>
      <w:r w:rsidRPr="005C179D">
        <w:rPr>
          <w:color w:val="auto"/>
        </w:rPr>
        <w:t>коления с успехом используют при лечении стафилококковых и стрептококковых (за исключ</w:t>
      </w:r>
      <w:r w:rsidRPr="005C179D">
        <w:rPr>
          <w:color w:val="auto"/>
        </w:rPr>
        <w:t>е</w:t>
      </w:r>
      <w:r w:rsidRPr="005C179D">
        <w:rPr>
          <w:color w:val="auto"/>
        </w:rPr>
        <w:t>нием вызываемых энтерококками) инфекций. В общем виде это - инфекционные заболевания кожи и мя</w:t>
      </w:r>
      <w:r w:rsidRPr="005C179D">
        <w:rPr>
          <w:color w:val="auto"/>
        </w:rPr>
        <w:t>г</w:t>
      </w:r>
      <w:r w:rsidRPr="005C179D">
        <w:rPr>
          <w:color w:val="auto"/>
        </w:rPr>
        <w:t>ких тканей, стрептококковый фарингит, внебольничная пневмония пневмококковой этиологии. Антибиотики этой группы неэффективны при заболеваниях, обусловленных H.influenzae и M.catarrhalis (синуситы, средний отит, обострения хронической обструктивной болезни легких). Цефалоспорины 1-го поколения дают выраженный эффект при лечении вн</w:t>
      </w:r>
      <w:r w:rsidRPr="005C179D">
        <w:rPr>
          <w:color w:val="auto"/>
        </w:rPr>
        <w:t>е</w:t>
      </w:r>
      <w:r w:rsidRPr="005C179D">
        <w:rPr>
          <w:color w:val="auto"/>
        </w:rPr>
        <w:t>больничных неосло</w:t>
      </w:r>
      <w:r w:rsidRPr="005C179D">
        <w:rPr>
          <w:color w:val="auto"/>
        </w:rPr>
        <w:t>ж</w:t>
      </w:r>
      <w:r w:rsidRPr="005C179D">
        <w:rPr>
          <w:color w:val="auto"/>
        </w:rPr>
        <w:t>ненных инфекций мочевыводящих путей, однако в подобной клинической ситуации предпочт</w:t>
      </w:r>
      <w:r w:rsidRPr="005C179D">
        <w:rPr>
          <w:color w:val="auto"/>
        </w:rPr>
        <w:t>е</w:t>
      </w:r>
      <w:r w:rsidRPr="005C179D">
        <w:rPr>
          <w:color w:val="auto"/>
        </w:rPr>
        <w:t>ние, как правило, отдают триметоприму (сульфаметоксазолу), прежде всего из-за его низкой сто</w:t>
      </w:r>
      <w:r w:rsidRPr="005C179D">
        <w:rPr>
          <w:color w:val="auto"/>
        </w:rPr>
        <w:t>и</w:t>
      </w:r>
      <w:r w:rsidRPr="005C179D">
        <w:rPr>
          <w:color w:val="auto"/>
        </w:rPr>
        <w:t>мости.</w:t>
      </w:r>
    </w:p>
    <w:p w14:paraId="4BC2BC1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 учетом особенностей спектра антимикробной активности (неуязвимость грамотриц</w:t>
      </w:r>
      <w:r w:rsidRPr="005C179D">
        <w:rPr>
          <w:color w:val="auto"/>
        </w:rPr>
        <w:t>а</w:t>
      </w:r>
      <w:r w:rsidRPr="005C179D">
        <w:rPr>
          <w:color w:val="auto"/>
        </w:rPr>
        <w:t>тельных микроорганизмов) и фармакокинетики (непроницаемость гематоэнцефалического барьера) Цефалоспорины 1-го поколения признают бесперспективными для применения в ра</w:t>
      </w:r>
      <w:r w:rsidRPr="005C179D">
        <w:rPr>
          <w:color w:val="auto"/>
        </w:rPr>
        <w:t>м</w:t>
      </w:r>
      <w:r w:rsidRPr="005C179D">
        <w:rPr>
          <w:color w:val="auto"/>
        </w:rPr>
        <w:t>ках эмпир</w:t>
      </w:r>
      <w:r w:rsidRPr="005C179D">
        <w:rPr>
          <w:color w:val="auto"/>
        </w:rPr>
        <w:t>и</w:t>
      </w:r>
      <w:r w:rsidRPr="005C179D">
        <w:rPr>
          <w:color w:val="auto"/>
        </w:rPr>
        <w:t>ческой терапии нозокомиальных (госпитальных) инфекций и менингита.</w:t>
      </w:r>
    </w:p>
    <w:p w14:paraId="08B6F63C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Благодаря доказанной эффективности, относительно продолжительному периоду пол</w:t>
      </w:r>
      <w:r w:rsidRPr="005C179D">
        <w:rPr>
          <w:color w:val="auto"/>
        </w:rPr>
        <w:t>у</w:t>
      </w:r>
      <w:r w:rsidRPr="005C179D">
        <w:rPr>
          <w:color w:val="auto"/>
        </w:rPr>
        <w:t>выведения и невысокой стоимости цефазолин достаточно широко используют в качестве пр</w:t>
      </w:r>
      <w:r w:rsidRPr="005C179D">
        <w:rPr>
          <w:color w:val="auto"/>
        </w:rPr>
        <w:t>о</w:t>
      </w:r>
      <w:r w:rsidRPr="005C179D">
        <w:rPr>
          <w:color w:val="auto"/>
        </w:rPr>
        <w:t>филакт</w:t>
      </w:r>
      <w:r w:rsidRPr="005C179D">
        <w:rPr>
          <w:color w:val="auto"/>
        </w:rPr>
        <w:t>и</w:t>
      </w:r>
      <w:r w:rsidRPr="005C179D">
        <w:rPr>
          <w:color w:val="auto"/>
        </w:rPr>
        <w:t>ческого средства при проведении "чистых" оперативных вмешательств: операций на сердце и сосудах, голове и шее (с предположительным повреждением слизистой оболочки р</w:t>
      </w:r>
      <w:r w:rsidRPr="005C179D">
        <w:rPr>
          <w:color w:val="auto"/>
        </w:rPr>
        <w:t>о</w:t>
      </w:r>
      <w:r w:rsidRPr="005C179D">
        <w:rPr>
          <w:color w:val="auto"/>
        </w:rPr>
        <w:t>тоглотки), ж</w:t>
      </w:r>
      <w:r w:rsidRPr="005C179D">
        <w:rPr>
          <w:color w:val="auto"/>
        </w:rPr>
        <w:t>е</w:t>
      </w:r>
      <w:r w:rsidRPr="005C179D">
        <w:rPr>
          <w:color w:val="auto"/>
        </w:rPr>
        <w:t>лудке и желчевыводящих путях, ортопедических операций, гистерэктомии. В то же время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лоспорины 1-го поколения не рекомендуется назначать при колоректальных операциях, аппендэктомии, в случае угрозы инфицирования метициллинрезистентными шта</w:t>
      </w:r>
      <w:r w:rsidRPr="005C179D">
        <w:rPr>
          <w:color w:val="auto"/>
        </w:rPr>
        <w:t>м</w:t>
      </w:r>
      <w:r w:rsidRPr="005C179D">
        <w:rPr>
          <w:color w:val="auto"/>
        </w:rPr>
        <w:t xml:space="preserve">мами S.aureus. </w:t>
      </w:r>
    </w:p>
    <w:p w14:paraId="6E110588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Цефалоспорины 2-го поколения</w:t>
      </w:r>
    </w:p>
    <w:p w14:paraId="1E0E12EB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2-го поколения, обладающие известной активностью в отношении ст</w:t>
      </w:r>
      <w:r w:rsidRPr="005C179D">
        <w:rPr>
          <w:color w:val="auto"/>
        </w:rPr>
        <w:t>а</w:t>
      </w:r>
      <w:r w:rsidRPr="005C179D">
        <w:rPr>
          <w:color w:val="auto"/>
        </w:rPr>
        <w:t>филококков и "неэнтерококковых" стрептококков, также оказывают отчетливое бактерицидное дейс</w:t>
      </w:r>
      <w:r w:rsidRPr="005C179D">
        <w:rPr>
          <w:color w:val="auto"/>
        </w:rPr>
        <w:t>т</w:t>
      </w:r>
      <w:r w:rsidRPr="005C179D">
        <w:rPr>
          <w:color w:val="auto"/>
        </w:rPr>
        <w:t>вие на H.influenzae, M.catarrhalis, N.meningitidis и N.gonorrhoeae. Отдельные препараты этой гру</w:t>
      </w:r>
      <w:r w:rsidRPr="005C179D">
        <w:rPr>
          <w:color w:val="auto"/>
        </w:rPr>
        <w:t>п</w:t>
      </w:r>
      <w:r w:rsidRPr="005C179D">
        <w:rPr>
          <w:color w:val="auto"/>
        </w:rPr>
        <w:t>пы активны (in vitro) против представителей семейства Enterobacteriaceae.</w:t>
      </w:r>
    </w:p>
    <w:p w14:paraId="1CF8730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Рассматривая Цефалоспорины 2-го поколения, целесообразно выделять истинные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лоспорины и цефамицины (цефокситин, цефотетан, цефметазол). Последние в отличие от и</w:t>
      </w:r>
      <w:r w:rsidRPr="005C179D">
        <w:rPr>
          <w:color w:val="auto"/>
        </w:rPr>
        <w:t>с</w:t>
      </w:r>
      <w:r w:rsidRPr="005C179D">
        <w:rPr>
          <w:color w:val="auto"/>
        </w:rPr>
        <w:t>тинных цефалоспоринов недостаточно активны в отношении стафилококков и стрептококков, но высок</w:t>
      </w:r>
      <w:r w:rsidRPr="005C179D">
        <w:rPr>
          <w:color w:val="auto"/>
        </w:rPr>
        <w:t>о</w:t>
      </w:r>
      <w:r w:rsidRPr="005C179D">
        <w:rPr>
          <w:color w:val="auto"/>
        </w:rPr>
        <w:t>эффективны против некоторых микроорганизмов семейства Enterobacteriaceae, Bacteroides spp. и особенно B.fragilis (табл. 5).</w:t>
      </w:r>
    </w:p>
    <w:p w14:paraId="02627D9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5. Антимикробная активность цефалоспоринов 2-го поколения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727"/>
        <w:gridCol w:w="726"/>
        <w:gridCol w:w="726"/>
        <w:gridCol w:w="726"/>
        <w:gridCol w:w="726"/>
        <w:gridCol w:w="726"/>
        <w:gridCol w:w="731"/>
        <w:gridCol w:w="731"/>
        <w:gridCol w:w="731"/>
      </w:tblGrid>
      <w:tr w:rsidR="00353761" w:rsidRPr="005C179D" w14:paraId="65C6297E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177992E1" w14:textId="77777777" w:rsidR="00353761" w:rsidRPr="005C179D" w:rsidRDefault="00353761" w:rsidP="005C179D">
            <w:pPr>
              <w:jc w:val="both"/>
            </w:pPr>
          </w:p>
        </w:tc>
        <w:tc>
          <w:tcPr>
            <w:tcW w:w="727" w:type="dxa"/>
            <w:vAlign w:val="center"/>
          </w:tcPr>
          <w:p w14:paraId="2E0486FA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1</w:t>
            </w:r>
          </w:p>
        </w:tc>
        <w:tc>
          <w:tcPr>
            <w:tcW w:w="726" w:type="dxa"/>
            <w:vAlign w:val="center"/>
          </w:tcPr>
          <w:p w14:paraId="7EBAE900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2</w:t>
            </w:r>
          </w:p>
        </w:tc>
        <w:tc>
          <w:tcPr>
            <w:tcW w:w="726" w:type="dxa"/>
            <w:vAlign w:val="center"/>
          </w:tcPr>
          <w:p w14:paraId="6389B071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3</w:t>
            </w:r>
          </w:p>
        </w:tc>
        <w:tc>
          <w:tcPr>
            <w:tcW w:w="726" w:type="dxa"/>
            <w:vAlign w:val="center"/>
          </w:tcPr>
          <w:p w14:paraId="3442BA3D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4</w:t>
            </w:r>
          </w:p>
        </w:tc>
        <w:tc>
          <w:tcPr>
            <w:tcW w:w="726" w:type="dxa"/>
            <w:vAlign w:val="center"/>
          </w:tcPr>
          <w:p w14:paraId="7EEF922B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5</w:t>
            </w:r>
          </w:p>
        </w:tc>
        <w:tc>
          <w:tcPr>
            <w:tcW w:w="726" w:type="dxa"/>
            <w:vAlign w:val="center"/>
          </w:tcPr>
          <w:p w14:paraId="47C77DEC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6</w:t>
            </w:r>
          </w:p>
        </w:tc>
        <w:tc>
          <w:tcPr>
            <w:tcW w:w="731" w:type="dxa"/>
            <w:vAlign w:val="center"/>
          </w:tcPr>
          <w:p w14:paraId="4B369BC7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7</w:t>
            </w:r>
          </w:p>
        </w:tc>
        <w:tc>
          <w:tcPr>
            <w:tcW w:w="731" w:type="dxa"/>
            <w:vAlign w:val="center"/>
          </w:tcPr>
          <w:p w14:paraId="0903015B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8</w:t>
            </w:r>
          </w:p>
        </w:tc>
        <w:tc>
          <w:tcPr>
            <w:tcW w:w="731" w:type="dxa"/>
            <w:vAlign w:val="center"/>
          </w:tcPr>
          <w:p w14:paraId="5357AE4A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9</w:t>
            </w:r>
          </w:p>
        </w:tc>
      </w:tr>
      <w:tr w:rsidR="00353761" w:rsidRPr="005C179D" w14:paraId="7A33D714" w14:textId="77777777">
        <w:trPr>
          <w:cantSplit/>
          <w:tblCellSpacing w:w="0" w:type="dxa"/>
          <w:jc w:val="center"/>
        </w:trPr>
        <w:tc>
          <w:tcPr>
            <w:tcW w:w="9000" w:type="dxa"/>
            <w:gridSpan w:val="10"/>
            <w:vAlign w:val="center"/>
          </w:tcPr>
          <w:p w14:paraId="7E32B417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</w:rPr>
            </w:pPr>
            <w:r w:rsidRPr="005C179D">
              <w:rPr>
                <w:szCs w:val="24"/>
              </w:rPr>
              <w:t>Грамположительные микроорганизмы</w:t>
            </w:r>
          </w:p>
        </w:tc>
      </w:tr>
      <w:tr w:rsidR="00353761" w:rsidRPr="005C179D" w14:paraId="005B5494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31CF1CDE" w14:textId="77777777" w:rsidR="00353761" w:rsidRPr="005C179D" w:rsidRDefault="00353761" w:rsidP="005C179D">
            <w:pPr>
              <w:jc w:val="both"/>
            </w:pPr>
            <w:r w:rsidRPr="005C179D">
              <w:t>St. aureus</w:t>
            </w:r>
          </w:p>
        </w:tc>
        <w:tc>
          <w:tcPr>
            <w:tcW w:w="727" w:type="dxa"/>
            <w:vAlign w:val="center"/>
          </w:tcPr>
          <w:p w14:paraId="71933B33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38530977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649EF079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407C2E6B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26" w:type="dxa"/>
            <w:vAlign w:val="center"/>
          </w:tcPr>
          <w:p w14:paraId="770D9E40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26" w:type="dxa"/>
            <w:vAlign w:val="center"/>
          </w:tcPr>
          <w:p w14:paraId="607D0638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31" w:type="dxa"/>
            <w:vAlign w:val="center"/>
          </w:tcPr>
          <w:p w14:paraId="37646DAF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31" w:type="dxa"/>
            <w:vAlign w:val="center"/>
          </w:tcPr>
          <w:p w14:paraId="22D09629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31" w:type="dxa"/>
            <w:vAlign w:val="center"/>
          </w:tcPr>
          <w:p w14:paraId="371D7697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</w:tr>
      <w:tr w:rsidR="00353761" w:rsidRPr="005C179D" w14:paraId="088EDBD0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4AC85D73" w14:textId="77777777" w:rsidR="00353761" w:rsidRPr="005C179D" w:rsidRDefault="00353761" w:rsidP="005C179D">
            <w:pPr>
              <w:jc w:val="both"/>
            </w:pPr>
            <w:r w:rsidRPr="005C179D">
              <w:t>Streptococci</w:t>
            </w:r>
          </w:p>
        </w:tc>
        <w:tc>
          <w:tcPr>
            <w:tcW w:w="727" w:type="dxa"/>
            <w:vAlign w:val="center"/>
          </w:tcPr>
          <w:p w14:paraId="03B5DAA7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7291DA4F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6070F7E4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68E2D4F2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61103010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26" w:type="dxa"/>
            <w:vAlign w:val="center"/>
          </w:tcPr>
          <w:p w14:paraId="4510C215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31" w:type="dxa"/>
            <w:vAlign w:val="center"/>
          </w:tcPr>
          <w:p w14:paraId="2EF28B87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31" w:type="dxa"/>
            <w:vAlign w:val="center"/>
          </w:tcPr>
          <w:p w14:paraId="29DF831A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731" w:type="dxa"/>
            <w:vAlign w:val="center"/>
          </w:tcPr>
          <w:p w14:paraId="7EB533BD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</w:tr>
      <w:tr w:rsidR="00353761" w:rsidRPr="005C179D" w14:paraId="080C028D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6B9381AB" w14:textId="77777777" w:rsidR="00353761" w:rsidRPr="005C179D" w:rsidRDefault="00353761" w:rsidP="005C179D">
            <w:pPr>
              <w:jc w:val="both"/>
            </w:pPr>
            <w:r w:rsidRPr="005C179D">
              <w:t>Enterococci</w:t>
            </w:r>
          </w:p>
        </w:tc>
        <w:tc>
          <w:tcPr>
            <w:tcW w:w="727" w:type="dxa"/>
            <w:vAlign w:val="center"/>
          </w:tcPr>
          <w:p w14:paraId="14E2656D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26" w:type="dxa"/>
            <w:vAlign w:val="center"/>
          </w:tcPr>
          <w:p w14:paraId="4C59B414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26" w:type="dxa"/>
            <w:vAlign w:val="center"/>
          </w:tcPr>
          <w:p w14:paraId="285E46EC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26" w:type="dxa"/>
            <w:vAlign w:val="center"/>
          </w:tcPr>
          <w:p w14:paraId="43D3958A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26" w:type="dxa"/>
            <w:vAlign w:val="center"/>
          </w:tcPr>
          <w:p w14:paraId="271CA5C0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26" w:type="dxa"/>
            <w:vAlign w:val="center"/>
          </w:tcPr>
          <w:p w14:paraId="110F8FB1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31" w:type="dxa"/>
            <w:vAlign w:val="center"/>
          </w:tcPr>
          <w:p w14:paraId="1D084415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31" w:type="dxa"/>
            <w:vAlign w:val="center"/>
          </w:tcPr>
          <w:p w14:paraId="612897BE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31" w:type="dxa"/>
            <w:vAlign w:val="center"/>
          </w:tcPr>
          <w:p w14:paraId="6D52441D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  <w:tr w:rsidR="00353761" w:rsidRPr="005C179D" w14:paraId="294FB503" w14:textId="77777777">
        <w:trPr>
          <w:cantSplit/>
          <w:tblCellSpacing w:w="0" w:type="dxa"/>
          <w:jc w:val="center"/>
        </w:trPr>
        <w:tc>
          <w:tcPr>
            <w:tcW w:w="9000" w:type="dxa"/>
            <w:gridSpan w:val="10"/>
            <w:vAlign w:val="center"/>
          </w:tcPr>
          <w:p w14:paraId="4FCA91FF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</w:rPr>
            </w:pPr>
            <w:r w:rsidRPr="005C179D">
              <w:rPr>
                <w:szCs w:val="24"/>
              </w:rPr>
              <w:t>Грамотрицательные микроорганизмы</w:t>
            </w:r>
          </w:p>
        </w:tc>
      </w:tr>
      <w:tr w:rsidR="00353761" w:rsidRPr="005C179D" w14:paraId="20CD52EA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71DFF19A" w14:textId="77777777" w:rsidR="00353761" w:rsidRPr="005C179D" w:rsidRDefault="00353761" w:rsidP="005C179D">
            <w:pPr>
              <w:jc w:val="both"/>
            </w:pPr>
            <w:r w:rsidRPr="005C179D">
              <w:rPr>
                <w:lang w:val="en-US"/>
              </w:rPr>
              <w:t>Haemophilus</w:t>
            </w:r>
            <w:r w:rsidRPr="005C179D">
              <w:t xml:space="preserve"> </w:t>
            </w:r>
            <w:r w:rsidRPr="005C179D">
              <w:rPr>
                <w:lang w:val="en-US"/>
              </w:rPr>
              <w:t>influe</w:t>
            </w:r>
            <w:r w:rsidRPr="005C179D">
              <w:rPr>
                <w:lang w:val="en-US"/>
              </w:rPr>
              <w:t>n</w:t>
            </w:r>
            <w:r w:rsidRPr="005C179D">
              <w:rPr>
                <w:lang w:val="en-US"/>
              </w:rPr>
              <w:t>zae</w:t>
            </w:r>
          </w:p>
        </w:tc>
        <w:tc>
          <w:tcPr>
            <w:tcW w:w="727" w:type="dxa"/>
            <w:vAlign w:val="center"/>
          </w:tcPr>
          <w:p w14:paraId="3744A60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5FA1D81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5EEB049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791C6E8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52C8D7B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7E080A1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15786F0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484707AD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67FE45E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5503452D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7FF2AF39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E.coli</w:t>
            </w:r>
          </w:p>
        </w:tc>
        <w:tc>
          <w:tcPr>
            <w:tcW w:w="727" w:type="dxa"/>
            <w:vAlign w:val="center"/>
          </w:tcPr>
          <w:p w14:paraId="1C39243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572EBA8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36B6AC81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1904941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5FB1741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35C08D3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36F693E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2C94063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45BF3FE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7258A104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7981BB64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Klebsiella ssp.</w:t>
            </w:r>
          </w:p>
        </w:tc>
        <w:tc>
          <w:tcPr>
            <w:tcW w:w="727" w:type="dxa"/>
            <w:vAlign w:val="center"/>
          </w:tcPr>
          <w:p w14:paraId="00FEE8B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4E315711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55E60AA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7534A2E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7F5A751F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4C4C142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1DAF148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60B38DD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6355EC5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1D80156E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4D26075F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Serratia marcescens</w:t>
            </w:r>
          </w:p>
        </w:tc>
        <w:tc>
          <w:tcPr>
            <w:tcW w:w="727" w:type="dxa"/>
            <w:vAlign w:val="center"/>
          </w:tcPr>
          <w:p w14:paraId="46F5972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56B4DCF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738D6D6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13AB16C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2595D4F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26" w:type="dxa"/>
            <w:vAlign w:val="center"/>
          </w:tcPr>
          <w:p w14:paraId="0018E20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31" w:type="dxa"/>
            <w:vAlign w:val="center"/>
          </w:tcPr>
          <w:p w14:paraId="55A4D50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731" w:type="dxa"/>
            <w:vAlign w:val="center"/>
          </w:tcPr>
          <w:p w14:paraId="2F8D524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31" w:type="dxa"/>
            <w:vAlign w:val="center"/>
          </w:tcPr>
          <w:p w14:paraId="5B99272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2A0F7D73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55C2E604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Proteus mirabilis</w:t>
            </w:r>
          </w:p>
        </w:tc>
        <w:tc>
          <w:tcPr>
            <w:tcW w:w="727" w:type="dxa"/>
            <w:vAlign w:val="center"/>
          </w:tcPr>
          <w:p w14:paraId="30FF051D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42740553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77FD082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412FD46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62F471D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26" w:type="dxa"/>
            <w:vAlign w:val="center"/>
          </w:tcPr>
          <w:p w14:paraId="56BF6F8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0926CA5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302D30D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731" w:type="dxa"/>
            <w:vAlign w:val="center"/>
          </w:tcPr>
          <w:p w14:paraId="50B77BA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6A3749AD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2F4C7F11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Pseudomonas aerug</w:t>
            </w:r>
            <w:r w:rsidRPr="005C179D">
              <w:rPr>
                <w:lang w:val="en-US"/>
              </w:rPr>
              <w:t>i</w:t>
            </w:r>
            <w:r w:rsidRPr="005C179D">
              <w:rPr>
                <w:lang w:val="en-US"/>
              </w:rPr>
              <w:t>nosa</w:t>
            </w:r>
          </w:p>
        </w:tc>
        <w:tc>
          <w:tcPr>
            <w:tcW w:w="727" w:type="dxa"/>
            <w:vAlign w:val="center"/>
          </w:tcPr>
          <w:p w14:paraId="24B3844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26" w:type="dxa"/>
            <w:vAlign w:val="center"/>
          </w:tcPr>
          <w:p w14:paraId="15E7184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26" w:type="dxa"/>
            <w:vAlign w:val="center"/>
          </w:tcPr>
          <w:p w14:paraId="5D9B05E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26" w:type="dxa"/>
            <w:vAlign w:val="center"/>
          </w:tcPr>
          <w:p w14:paraId="1F3E4BE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26" w:type="dxa"/>
            <w:vAlign w:val="center"/>
          </w:tcPr>
          <w:p w14:paraId="33F2C6B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26" w:type="dxa"/>
            <w:vAlign w:val="center"/>
          </w:tcPr>
          <w:p w14:paraId="03BE469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31" w:type="dxa"/>
            <w:vAlign w:val="center"/>
          </w:tcPr>
          <w:p w14:paraId="35A75FE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31" w:type="dxa"/>
            <w:vAlign w:val="center"/>
          </w:tcPr>
          <w:p w14:paraId="71171893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31" w:type="dxa"/>
            <w:vAlign w:val="center"/>
          </w:tcPr>
          <w:p w14:paraId="1E16C2A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6A49E9F0" w14:textId="77777777">
        <w:trPr>
          <w:cantSplit/>
          <w:tblCellSpacing w:w="0" w:type="dxa"/>
          <w:jc w:val="center"/>
        </w:trPr>
        <w:tc>
          <w:tcPr>
            <w:tcW w:w="9000" w:type="dxa"/>
            <w:gridSpan w:val="10"/>
            <w:vAlign w:val="center"/>
          </w:tcPr>
          <w:p w14:paraId="66126217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  <w:lang w:val="en-US"/>
              </w:rPr>
            </w:pPr>
            <w:r w:rsidRPr="005C179D">
              <w:rPr>
                <w:szCs w:val="24"/>
              </w:rPr>
              <w:t>Анаэробы</w:t>
            </w:r>
          </w:p>
        </w:tc>
      </w:tr>
      <w:tr w:rsidR="00353761" w:rsidRPr="005C179D" w14:paraId="57E61071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30A0975F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Clostridii</w:t>
            </w:r>
          </w:p>
        </w:tc>
        <w:tc>
          <w:tcPr>
            <w:tcW w:w="727" w:type="dxa"/>
            <w:vAlign w:val="center"/>
          </w:tcPr>
          <w:p w14:paraId="1BDBE2A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5D9374B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7CF16BF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54C7DA9D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121AAAD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26" w:type="dxa"/>
            <w:vAlign w:val="center"/>
          </w:tcPr>
          <w:p w14:paraId="241943A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31" w:type="dxa"/>
            <w:vAlign w:val="center"/>
          </w:tcPr>
          <w:p w14:paraId="78459BC2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</w:t>
            </w:r>
          </w:p>
        </w:tc>
        <w:tc>
          <w:tcPr>
            <w:tcW w:w="731" w:type="dxa"/>
            <w:vAlign w:val="center"/>
          </w:tcPr>
          <w:p w14:paraId="21755ADD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731" w:type="dxa"/>
            <w:vAlign w:val="center"/>
          </w:tcPr>
          <w:p w14:paraId="2E2B8DA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</w:tr>
      <w:tr w:rsidR="00353761" w:rsidRPr="005C179D" w14:paraId="52199CBB" w14:textId="77777777">
        <w:trPr>
          <w:tblCellSpacing w:w="0" w:type="dxa"/>
          <w:jc w:val="center"/>
        </w:trPr>
        <w:tc>
          <w:tcPr>
            <w:tcW w:w="2450" w:type="dxa"/>
            <w:vAlign w:val="center"/>
          </w:tcPr>
          <w:p w14:paraId="3011918C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Bacteroides fragilis</w:t>
            </w:r>
          </w:p>
        </w:tc>
        <w:tc>
          <w:tcPr>
            <w:tcW w:w="727" w:type="dxa"/>
            <w:vAlign w:val="center"/>
          </w:tcPr>
          <w:p w14:paraId="2D09812D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  <w:tc>
          <w:tcPr>
            <w:tcW w:w="726" w:type="dxa"/>
            <w:vAlign w:val="center"/>
          </w:tcPr>
          <w:p w14:paraId="60AD629A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  <w:tc>
          <w:tcPr>
            <w:tcW w:w="726" w:type="dxa"/>
            <w:vAlign w:val="center"/>
          </w:tcPr>
          <w:p w14:paraId="76ACA42E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  <w:tc>
          <w:tcPr>
            <w:tcW w:w="726" w:type="dxa"/>
            <w:vAlign w:val="center"/>
          </w:tcPr>
          <w:p w14:paraId="58236AAD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  <w:tc>
          <w:tcPr>
            <w:tcW w:w="726" w:type="dxa"/>
            <w:vAlign w:val="center"/>
          </w:tcPr>
          <w:p w14:paraId="61C05353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26" w:type="dxa"/>
            <w:vAlign w:val="center"/>
          </w:tcPr>
          <w:p w14:paraId="2A49873F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31" w:type="dxa"/>
            <w:vAlign w:val="center"/>
          </w:tcPr>
          <w:p w14:paraId="61D64B89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731" w:type="dxa"/>
            <w:vAlign w:val="center"/>
          </w:tcPr>
          <w:p w14:paraId="751CA3D4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731" w:type="dxa"/>
            <w:vAlign w:val="center"/>
          </w:tcPr>
          <w:p w14:paraId="66C5ECC8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</w:tbl>
    <w:p w14:paraId="3B9E973D" w14:textId="77777777" w:rsidR="00353761" w:rsidRPr="005C179D" w:rsidRDefault="00353761" w:rsidP="005C179D">
      <w:pPr>
        <w:ind w:firstLine="567"/>
        <w:jc w:val="both"/>
        <w:rPr>
          <w:vanish/>
          <w:lang w:val="en-US"/>
        </w:rPr>
      </w:pPr>
    </w:p>
    <w:p w14:paraId="4E1CC8D0" w14:textId="77777777" w:rsidR="00353761" w:rsidRPr="005C179D" w:rsidRDefault="00353761" w:rsidP="005C179D">
      <w:pPr>
        <w:ind w:firstLine="567"/>
        <w:jc w:val="both"/>
        <w:rPr>
          <w:vanish/>
        </w:rPr>
      </w:pPr>
      <w:r w:rsidRPr="005C179D">
        <w:rPr>
          <w:vanish/>
        </w:rPr>
        <w:br w:type="page"/>
      </w:r>
    </w:p>
    <w:tbl>
      <w:tblPr>
        <w:tblW w:w="632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504"/>
      </w:tblGrid>
      <w:tr w:rsidR="00353761" w:rsidRPr="005C179D" w14:paraId="5246957D" w14:textId="77777777">
        <w:trPr>
          <w:cantSplit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4150C29B" w14:textId="77777777" w:rsidR="00353761" w:rsidRPr="005C179D" w:rsidRDefault="00353761" w:rsidP="005C179D">
            <w:pPr>
              <w:rPr>
                <w:b/>
                <w:bCs/>
              </w:rPr>
            </w:pPr>
            <w:r w:rsidRPr="005C179D">
              <w:rPr>
                <w:b/>
                <w:bCs/>
              </w:rPr>
              <w:t>Примечание:</w:t>
            </w:r>
          </w:p>
        </w:tc>
      </w:tr>
      <w:tr w:rsidR="00353761" w:rsidRPr="005C179D" w14:paraId="255924AB" w14:textId="77777777">
        <w:trPr>
          <w:cantSplit/>
          <w:tblCellSpacing w:w="0" w:type="dxa"/>
          <w:jc w:val="center"/>
        </w:trPr>
        <w:tc>
          <w:tcPr>
            <w:tcW w:w="3020" w:type="pct"/>
            <w:vAlign w:val="center"/>
          </w:tcPr>
          <w:p w14:paraId="78E1CCCD" w14:textId="77777777" w:rsidR="00353761" w:rsidRPr="005C179D" w:rsidRDefault="00353761" w:rsidP="005C179D">
            <w:pPr>
              <w:pStyle w:val="a4"/>
              <w:spacing w:before="0" w:beforeAutospacing="0" w:after="120" w:afterAutospacing="0"/>
              <w:rPr>
                <w:color w:val="auto"/>
              </w:rPr>
            </w:pPr>
            <w:r w:rsidRPr="005C179D">
              <w:rPr>
                <w:color w:val="auto"/>
              </w:rPr>
              <w:t>Парентеральные:</w:t>
            </w:r>
          </w:p>
          <w:p w14:paraId="097AC000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1. Цефамандол</w:t>
            </w:r>
          </w:p>
          <w:p w14:paraId="4524664A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2. Цефоранид</w:t>
            </w:r>
          </w:p>
          <w:p w14:paraId="2074F7C1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3. Цефоницид (моноцид)</w:t>
            </w:r>
          </w:p>
          <w:p w14:paraId="42517CE8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4. Цефуроксим (зиноцеф, кетоцеф)</w:t>
            </w:r>
          </w:p>
          <w:p w14:paraId="4B31A94C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5. Цефокситин</w:t>
            </w:r>
          </w:p>
          <w:p w14:paraId="4B389A5B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6. Цефотетам</w:t>
            </w:r>
          </w:p>
          <w:p w14:paraId="5586756A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  <w:lang w:val="en-US"/>
              </w:rPr>
            </w:pPr>
            <w:r w:rsidRPr="005C179D">
              <w:rPr>
                <w:color w:val="auto"/>
              </w:rPr>
              <w:t>7. Цефметазол</w:t>
            </w:r>
          </w:p>
        </w:tc>
        <w:tc>
          <w:tcPr>
            <w:tcW w:w="1980" w:type="pct"/>
            <w:vMerge w:val="restart"/>
          </w:tcPr>
          <w:p w14:paraId="225353FA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$$$ - очень хорошая</w:t>
            </w:r>
          </w:p>
          <w:p w14:paraId="71C969F2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$$- хорошая</w:t>
            </w:r>
          </w:p>
          <w:p w14:paraId="56F257BB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$- слабая</w:t>
            </w:r>
          </w:p>
          <w:p w14:paraId="2A1C93A7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  <w:lang w:val="en-US"/>
              </w:rPr>
            </w:pPr>
            <w:r w:rsidRPr="005C179D">
              <w:rPr>
                <w:color w:val="auto"/>
              </w:rPr>
              <w:t>&amp;- действие отсутств</w:t>
            </w:r>
            <w:r w:rsidRPr="005C179D">
              <w:rPr>
                <w:color w:val="auto"/>
              </w:rPr>
              <w:t>у</w:t>
            </w:r>
            <w:r w:rsidRPr="005C179D">
              <w:rPr>
                <w:color w:val="auto"/>
              </w:rPr>
              <w:t>ет</w:t>
            </w:r>
          </w:p>
        </w:tc>
      </w:tr>
      <w:tr w:rsidR="00353761" w:rsidRPr="005C179D" w14:paraId="1C2318DD" w14:textId="77777777">
        <w:trPr>
          <w:cantSplit/>
          <w:tblCellSpacing w:w="0" w:type="dxa"/>
          <w:jc w:val="center"/>
        </w:trPr>
        <w:tc>
          <w:tcPr>
            <w:tcW w:w="3020" w:type="pct"/>
            <w:vAlign w:val="center"/>
          </w:tcPr>
          <w:p w14:paraId="67E07408" w14:textId="77777777" w:rsidR="00353761" w:rsidRPr="005C179D" w:rsidRDefault="00353761" w:rsidP="005C179D">
            <w:pPr>
              <w:pStyle w:val="a4"/>
              <w:spacing w:before="0" w:beforeAutospacing="0" w:after="120" w:afterAutospacing="0"/>
              <w:rPr>
                <w:color w:val="auto"/>
              </w:rPr>
            </w:pPr>
            <w:r w:rsidRPr="005C179D">
              <w:rPr>
                <w:color w:val="auto"/>
              </w:rPr>
              <w:t>Энтеральные</w:t>
            </w:r>
          </w:p>
          <w:p w14:paraId="28D054CA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8. Цефаклор (альфацет, цеклор)</w:t>
            </w:r>
          </w:p>
          <w:p w14:paraId="5B5182DA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9. Цефуроксим аксетил (зиннат, цефтин)</w:t>
            </w:r>
          </w:p>
        </w:tc>
        <w:tc>
          <w:tcPr>
            <w:tcW w:w="1980" w:type="pct"/>
            <w:vMerge/>
          </w:tcPr>
          <w:p w14:paraId="6115CB3F" w14:textId="77777777" w:rsidR="00353761" w:rsidRPr="005C179D" w:rsidRDefault="00353761" w:rsidP="005C179D"/>
        </w:tc>
      </w:tr>
    </w:tbl>
    <w:p w14:paraId="097D9C1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Цефамандол (мандол) пригоден для парентерального введения. Он содержит метилти</w:t>
      </w:r>
      <w:r w:rsidRPr="005C179D">
        <w:rPr>
          <w:color w:val="auto"/>
        </w:rPr>
        <w:t>о</w:t>
      </w:r>
      <w:r w:rsidRPr="005C179D">
        <w:rPr>
          <w:color w:val="auto"/>
        </w:rPr>
        <w:t>тетр</w:t>
      </w:r>
      <w:r w:rsidRPr="005C179D">
        <w:rPr>
          <w:color w:val="auto"/>
        </w:rPr>
        <w:t>а</w:t>
      </w:r>
      <w:r w:rsidRPr="005C179D">
        <w:rPr>
          <w:color w:val="auto"/>
        </w:rPr>
        <w:t>зольную группу, поэтому токсичен. Цефамандол высокоактивен в отношении S.aureus, но подве</w:t>
      </w:r>
      <w:r w:rsidRPr="005C179D">
        <w:rPr>
          <w:color w:val="auto"/>
        </w:rPr>
        <w:t>р</w:t>
      </w:r>
      <w:r w:rsidRPr="005C179D">
        <w:rPr>
          <w:color w:val="auto"/>
        </w:rPr>
        <w:t>гается гидролизной деградации под воздействием ТЕМ-1, продуцируемой H.influenzae.</w:t>
      </w:r>
    </w:p>
    <w:p w14:paraId="32DB0FD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Цефуроксим (зинацеф) резистентен к действию бета-лактамаз H.influenzae, N.gonorrhoeae, отдельных представителей семейства Enterobacteriaceae (E.coli, Proteus mirabilis, Klebsiella spp., Citrobacter freundii). Уступая цефалоспоринам 1-го поколения в выраженности бактерицидного действия на S.aureus, цефуроксим более активен в отношении S.pneumoniae и S.pyogenes. Это единственный представитель цефалоспоринов 2-го поколения, проникающий в цереброспинальную жидкость. Однако, согласно результатам сравнительных исследований э</w:t>
      </w:r>
      <w:r w:rsidRPr="005C179D">
        <w:rPr>
          <w:color w:val="auto"/>
        </w:rPr>
        <w:t>ф</w:t>
      </w:r>
      <w:r w:rsidRPr="005C179D">
        <w:rPr>
          <w:color w:val="auto"/>
        </w:rPr>
        <w:t>фективности цефуроксима и цефтриаксона (цефалоспорин 3-го поколения) при лечении мени</w:t>
      </w:r>
      <w:r w:rsidRPr="005C179D">
        <w:rPr>
          <w:color w:val="auto"/>
        </w:rPr>
        <w:t>н</w:t>
      </w:r>
      <w:r w:rsidRPr="005C179D">
        <w:rPr>
          <w:color w:val="auto"/>
        </w:rPr>
        <w:t>гита у детей, при применении цефуроксима отмечались более длительный период бактериол</w:t>
      </w:r>
      <w:r w:rsidRPr="005C179D">
        <w:rPr>
          <w:color w:val="auto"/>
        </w:rPr>
        <w:t>о</w:t>
      </w:r>
      <w:r w:rsidRPr="005C179D">
        <w:rPr>
          <w:color w:val="auto"/>
        </w:rPr>
        <w:t>гического в</w:t>
      </w:r>
      <w:r w:rsidRPr="005C179D">
        <w:rPr>
          <w:color w:val="auto"/>
        </w:rPr>
        <w:t>ы</w:t>
      </w:r>
      <w:r w:rsidRPr="005C179D">
        <w:rPr>
          <w:color w:val="auto"/>
        </w:rPr>
        <w:t>здоровления и более высокая частота побочных реакций.</w:t>
      </w:r>
    </w:p>
    <w:p w14:paraId="18FB053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Цефаклор (цеклор) предназначен для приема внутрь, его фармакокинетические характ</w:t>
      </w:r>
      <w:r w:rsidRPr="005C179D">
        <w:rPr>
          <w:color w:val="auto"/>
        </w:rPr>
        <w:t>е</w:t>
      </w:r>
      <w:r w:rsidRPr="005C179D">
        <w:rPr>
          <w:color w:val="auto"/>
        </w:rPr>
        <w:t>ристики аналогичны таковым цефалексина. В отличие от последнего цефаклор высокоэффект</w:t>
      </w:r>
      <w:r w:rsidRPr="005C179D">
        <w:rPr>
          <w:color w:val="auto"/>
        </w:rPr>
        <w:t>и</w:t>
      </w:r>
      <w:r w:rsidRPr="005C179D">
        <w:rPr>
          <w:color w:val="auto"/>
        </w:rPr>
        <w:t>вен в отношении H.influenzae, M.catarrhalis, E.coli, Proteus mirabilis. Препарат разрушается под действ</w:t>
      </w:r>
      <w:r w:rsidRPr="005C179D">
        <w:rPr>
          <w:color w:val="auto"/>
        </w:rPr>
        <w:t>и</w:t>
      </w:r>
      <w:r w:rsidRPr="005C179D">
        <w:rPr>
          <w:color w:val="auto"/>
        </w:rPr>
        <w:t>ем бета-лактамаз, продуцируемых отдельными штаммами H.influenzae и M.catarrhalis (ТЕМ-1 и Вго-1 соответственно).</w:t>
      </w:r>
    </w:p>
    <w:p w14:paraId="7103061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b/>
          <w:bCs/>
          <w:i/>
          <w:iCs/>
          <w:color w:val="auto"/>
        </w:rPr>
        <w:t>Таблица 5.</w:t>
      </w:r>
      <w:r w:rsidRPr="005C179D">
        <w:rPr>
          <w:color w:val="auto"/>
        </w:rPr>
        <w:t xml:space="preserve"> Антимикробная активность цефалоспоринов 2-го поколения</w:t>
      </w:r>
    </w:p>
    <w:p w14:paraId="1C0D594E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b/>
          <w:bCs/>
          <w:color w:val="auto"/>
        </w:rPr>
        <w:t>Клиническое применение цефалоспоринов 2-го поколения</w:t>
      </w:r>
      <w:r w:rsidRPr="005C179D">
        <w:rPr>
          <w:color w:val="auto"/>
        </w:rPr>
        <w:t>. В связи с выраженной а</w:t>
      </w:r>
      <w:r w:rsidRPr="005C179D">
        <w:rPr>
          <w:color w:val="auto"/>
        </w:rPr>
        <w:t>к</w:t>
      </w:r>
      <w:r w:rsidRPr="005C179D">
        <w:rPr>
          <w:color w:val="auto"/>
        </w:rPr>
        <w:t>тивностью цефуроксима в отношении H.influenzae и M.catarrhalis, включая бета-лактамазопродуцирующие штаммы, а также S.pneumoniae оправдано назначение препарата при внебольничной пневмонии. Цефуроксим может быть использован также при лечении осло</w:t>
      </w:r>
      <w:r w:rsidRPr="005C179D">
        <w:rPr>
          <w:color w:val="auto"/>
        </w:rPr>
        <w:t>ж</w:t>
      </w:r>
      <w:r w:rsidRPr="005C179D">
        <w:rPr>
          <w:color w:val="auto"/>
        </w:rPr>
        <w:t>ненных синуситов, инфекционных заболеваний мягких тканей, неосложненных инфекций м</w:t>
      </w:r>
      <w:r w:rsidRPr="005C179D">
        <w:rPr>
          <w:color w:val="auto"/>
        </w:rPr>
        <w:t>о</w:t>
      </w:r>
      <w:r w:rsidRPr="005C179D">
        <w:rPr>
          <w:color w:val="auto"/>
        </w:rPr>
        <w:t>чев</w:t>
      </w:r>
      <w:r w:rsidRPr="005C179D">
        <w:rPr>
          <w:color w:val="auto"/>
        </w:rPr>
        <w:t>ы</w:t>
      </w:r>
      <w:r w:rsidRPr="005C179D">
        <w:rPr>
          <w:color w:val="auto"/>
        </w:rPr>
        <w:t>водящих путей. Препарат эффективен при лечении менингита, вызываемого H.influenzae, N.meningitidis и S.pneumoniae. Однако, учитывая тот факт, что цефалоспорины 3-го поколения легче проникают в цереброспинальную жидкость и проявляют более высокую антибактериал</w:t>
      </w:r>
      <w:r w:rsidRPr="005C179D">
        <w:rPr>
          <w:color w:val="auto"/>
        </w:rPr>
        <w:t>ь</w:t>
      </w:r>
      <w:r w:rsidRPr="005C179D">
        <w:rPr>
          <w:color w:val="auto"/>
        </w:rPr>
        <w:t>ную активность в отношении потенциальных возбудителей менингита, их считают препаратами выб</w:t>
      </w:r>
      <w:r w:rsidRPr="005C179D">
        <w:rPr>
          <w:color w:val="auto"/>
        </w:rPr>
        <w:t>о</w:t>
      </w:r>
      <w:r w:rsidRPr="005C179D">
        <w:rPr>
          <w:color w:val="auto"/>
        </w:rPr>
        <w:t>ра в данной клинической ситуации.</w:t>
      </w:r>
    </w:p>
    <w:p w14:paraId="4727BA9C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Хотя спектр действия цефамандола близок к таковому цефуроксима, из-за неудовлетв</w:t>
      </w:r>
      <w:r w:rsidRPr="005C179D">
        <w:rPr>
          <w:color w:val="auto"/>
        </w:rPr>
        <w:t>о</w:t>
      </w:r>
      <w:r w:rsidRPr="005C179D">
        <w:rPr>
          <w:color w:val="auto"/>
        </w:rPr>
        <w:t>рительных показателей фармакокинетики, низкой активности в отношении H.influenzae и то</w:t>
      </w:r>
      <w:r w:rsidRPr="005C179D">
        <w:rPr>
          <w:color w:val="auto"/>
        </w:rPr>
        <w:t>к</w:t>
      </w:r>
      <w:r w:rsidRPr="005C179D">
        <w:rPr>
          <w:color w:val="auto"/>
        </w:rPr>
        <w:t>сичности препарат редко применяют в клинической практике.</w:t>
      </w:r>
    </w:p>
    <w:p w14:paraId="5A2ED22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Цефамандол и цефуроксим нецелесообразно назначать в рамках эмпирической терапии нозокомиальной пневмонии или других госпитальных инфекций, чаще всего связываемых с Enterobacter spp., Citrobacter freundii, Proteus spp., P.aeruginosa. У этих микроорганизмов очень быстро вырабатывается резистентность к цефалоспоринам 2-го поколения вследствие индуц</w:t>
      </w:r>
      <w:r w:rsidRPr="005C179D">
        <w:rPr>
          <w:color w:val="auto"/>
        </w:rPr>
        <w:t>и</w:t>
      </w:r>
      <w:r w:rsidRPr="005C179D">
        <w:rPr>
          <w:color w:val="auto"/>
        </w:rPr>
        <w:t>бельной продукции хромосомных бета-лактамаз.</w:t>
      </w:r>
    </w:p>
    <w:p w14:paraId="5140259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Цефокситин (мефоксин), цефотетан (цефотан) и цефметазол (цефметазон) зарекоменд</w:t>
      </w:r>
      <w:r w:rsidRPr="005C179D">
        <w:rPr>
          <w:color w:val="auto"/>
        </w:rPr>
        <w:t>о</w:t>
      </w:r>
      <w:r w:rsidRPr="005C179D">
        <w:rPr>
          <w:color w:val="auto"/>
        </w:rPr>
        <w:t>вали себя как высокоэффективные препараты в лечении интраабдоминальных инфекций, гин</w:t>
      </w:r>
      <w:r w:rsidRPr="005C179D">
        <w:rPr>
          <w:color w:val="auto"/>
        </w:rPr>
        <w:t>е</w:t>
      </w:r>
      <w:r w:rsidRPr="005C179D">
        <w:rPr>
          <w:color w:val="auto"/>
        </w:rPr>
        <w:t>колог</w:t>
      </w:r>
      <w:r w:rsidRPr="005C179D">
        <w:rPr>
          <w:color w:val="auto"/>
        </w:rPr>
        <w:t>и</w:t>
      </w:r>
      <w:r w:rsidRPr="005C179D">
        <w:rPr>
          <w:color w:val="auto"/>
        </w:rPr>
        <w:t>ческих заболеваний, смешанных аэробно-анаэробных инфекций мягких тканей, гнойных осложнений сахарного диабета. Эти состояния чаще всего ассоциируются с грамотрицательн</w:t>
      </w:r>
      <w:r w:rsidRPr="005C179D">
        <w:rPr>
          <w:color w:val="auto"/>
        </w:rPr>
        <w:t>ы</w:t>
      </w:r>
      <w:r w:rsidRPr="005C179D">
        <w:rPr>
          <w:color w:val="auto"/>
        </w:rPr>
        <w:t>ми факультативными микроорганизмами и анаэробами, прежде всего B.fragilis. Однако в п</w:t>
      </w:r>
      <w:r w:rsidRPr="005C179D">
        <w:rPr>
          <w:color w:val="auto"/>
        </w:rPr>
        <w:t>о</w:t>
      </w:r>
      <w:r w:rsidRPr="005C179D">
        <w:rPr>
          <w:color w:val="auto"/>
        </w:rPr>
        <w:t>следние годы появились сообщения о распространении резистентных к цефамициновым ант</w:t>
      </w:r>
      <w:r w:rsidRPr="005C179D">
        <w:rPr>
          <w:color w:val="auto"/>
        </w:rPr>
        <w:t>и</w:t>
      </w:r>
      <w:r w:rsidRPr="005C179D">
        <w:rPr>
          <w:color w:val="auto"/>
        </w:rPr>
        <w:t>биотикам штаммов B.fragilis (около 15%). В связи с этим при развитии угрожающих жизни и</w:t>
      </w:r>
      <w:r w:rsidRPr="005C179D">
        <w:rPr>
          <w:color w:val="auto"/>
        </w:rPr>
        <w:t>н</w:t>
      </w:r>
      <w:r w:rsidRPr="005C179D">
        <w:rPr>
          <w:color w:val="auto"/>
        </w:rPr>
        <w:t>фекционных осложнений, обусловленных B.fragilis, лечение цефокситином и другими цефало</w:t>
      </w:r>
      <w:r w:rsidRPr="005C179D">
        <w:rPr>
          <w:color w:val="auto"/>
        </w:rPr>
        <w:t>с</w:t>
      </w:r>
      <w:r w:rsidRPr="005C179D">
        <w:rPr>
          <w:color w:val="auto"/>
        </w:rPr>
        <w:t>поринами может быть начато только после определения чувствительности к ним возбудителя. В случаях выделение резистентных к цефамициновым антибиотикам штаммов B.fragilis предпо</w:t>
      </w:r>
      <w:r w:rsidRPr="005C179D">
        <w:rPr>
          <w:color w:val="auto"/>
        </w:rPr>
        <w:t>ч</w:t>
      </w:r>
      <w:r w:rsidRPr="005C179D">
        <w:rPr>
          <w:color w:val="auto"/>
        </w:rPr>
        <w:t>тение отдают метронид</w:t>
      </w:r>
      <w:r w:rsidRPr="005C179D">
        <w:rPr>
          <w:color w:val="auto"/>
        </w:rPr>
        <w:t>а</w:t>
      </w:r>
      <w:r w:rsidRPr="005C179D">
        <w:rPr>
          <w:color w:val="auto"/>
        </w:rPr>
        <w:t>золу и карбапенемам (имипенем, циластатин).</w:t>
      </w:r>
    </w:p>
    <w:p w14:paraId="24EDDC8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Цефамициновые антибиотики не обладают высокой активностью против S.aureus и до</w:t>
      </w:r>
      <w:r w:rsidRPr="005C179D">
        <w:rPr>
          <w:color w:val="auto"/>
        </w:rPr>
        <w:t>с</w:t>
      </w:r>
      <w:r w:rsidRPr="005C179D">
        <w:rPr>
          <w:color w:val="auto"/>
        </w:rPr>
        <w:t>таточно быстро инактивируются бета-лактамазами, продуцируемыми микроорганизмами с</w:t>
      </w:r>
      <w:r w:rsidRPr="005C179D">
        <w:rPr>
          <w:color w:val="auto"/>
        </w:rPr>
        <w:t>е</w:t>
      </w:r>
      <w:r w:rsidRPr="005C179D">
        <w:rPr>
          <w:color w:val="auto"/>
        </w:rPr>
        <w:t>мейства Enterobacteriaceae. В связи с этим нецелесообразно применять данные препараты при леч</w:t>
      </w:r>
      <w:r w:rsidRPr="005C179D">
        <w:rPr>
          <w:color w:val="auto"/>
        </w:rPr>
        <w:t>е</w:t>
      </w:r>
      <w:r w:rsidRPr="005C179D">
        <w:rPr>
          <w:color w:val="auto"/>
        </w:rPr>
        <w:t>нии нозокомиальных инфекций. Подобно цефалоспоринам 1-го поколения цефамициновые антибиотики не показаны в качестве профилактического средства при проведении колоре</w:t>
      </w:r>
      <w:r w:rsidRPr="005C179D">
        <w:rPr>
          <w:color w:val="auto"/>
        </w:rPr>
        <w:t>к</w:t>
      </w:r>
      <w:r w:rsidRPr="005C179D">
        <w:rPr>
          <w:color w:val="auto"/>
        </w:rPr>
        <w:t xml:space="preserve">тальных операций и аппендэктомии. </w:t>
      </w:r>
    </w:p>
    <w:p w14:paraId="5432115E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Цефалоспорины 3-го поколения</w:t>
      </w:r>
    </w:p>
    <w:p w14:paraId="1FD1135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 микробиологической точки зрения цефалоспорины 3-го поколения характеризуются следующими признаками.</w:t>
      </w:r>
    </w:p>
    <w:p w14:paraId="32DF184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А. Выраженная антибактериальная активность против энтеробактерий, включая мульт</w:t>
      </w:r>
      <w:r w:rsidRPr="005C179D">
        <w:rPr>
          <w:color w:val="auto"/>
        </w:rPr>
        <w:t>и</w:t>
      </w:r>
      <w:r w:rsidRPr="005C179D">
        <w:rPr>
          <w:color w:val="auto"/>
        </w:rPr>
        <w:t>резистентные проблемные микроорганизмы (Serratia marcescens, Proteus vulgaris). Впрочем н</w:t>
      </w:r>
      <w:r w:rsidRPr="005C179D">
        <w:rPr>
          <w:color w:val="auto"/>
        </w:rPr>
        <w:t>е</w:t>
      </w:r>
      <w:r w:rsidRPr="005C179D">
        <w:rPr>
          <w:color w:val="auto"/>
        </w:rPr>
        <w:t>оправданно широкое использование в последнее время "современных" цефалоспоринов, т.е.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ринов 3-го поколения, обусловило драматичное распространение грамотрицательных микроорганизмов, продуцирующих хромосомные бета-лактамазы, и их "вклад" в инфекцио</w:t>
      </w:r>
      <w:r w:rsidRPr="005C179D">
        <w:rPr>
          <w:color w:val="auto"/>
        </w:rPr>
        <w:t>н</w:t>
      </w:r>
      <w:r w:rsidRPr="005C179D">
        <w:rPr>
          <w:color w:val="auto"/>
        </w:rPr>
        <w:t>ную заболева</w:t>
      </w:r>
      <w:r w:rsidRPr="005C179D">
        <w:rPr>
          <w:color w:val="auto"/>
        </w:rPr>
        <w:t>е</w:t>
      </w:r>
      <w:r w:rsidRPr="005C179D">
        <w:rPr>
          <w:color w:val="auto"/>
        </w:rPr>
        <w:t>мость.</w:t>
      </w:r>
    </w:p>
    <w:p w14:paraId="33B2BCA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Б. Расширенный спектр действия в отношении грамотрицательных микроорганизмов, вкл</w:t>
      </w:r>
      <w:r w:rsidRPr="005C179D">
        <w:rPr>
          <w:color w:val="auto"/>
        </w:rPr>
        <w:t>ю</w:t>
      </w:r>
      <w:r w:rsidRPr="005C179D">
        <w:rPr>
          <w:color w:val="auto"/>
        </w:rPr>
        <w:t>чая P.aeruginosa и Citrobacter freundii. При этом, однако, следует учитывать вариабельную чувс</w:t>
      </w:r>
      <w:r w:rsidRPr="005C179D">
        <w:rPr>
          <w:color w:val="auto"/>
        </w:rPr>
        <w:t>т</w:t>
      </w:r>
      <w:r w:rsidRPr="005C179D">
        <w:rPr>
          <w:color w:val="auto"/>
        </w:rPr>
        <w:t>вительность клинических изолятов к данным антибиотикам.</w:t>
      </w:r>
    </w:p>
    <w:p w14:paraId="6AFB0A6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В. Более сильное антибактериального действие на грамотрицательные микроорганизмы у всех без исключения цефалоспоринов 3-го поколения по сравнению с цефалоспоринами 1-го и 2-го поколений "соседствует" с заметно более слабой активностью в отношении грамполож</w:t>
      </w:r>
      <w:r w:rsidRPr="005C179D">
        <w:rPr>
          <w:color w:val="auto"/>
        </w:rPr>
        <w:t>и</w:t>
      </w:r>
      <w:r w:rsidRPr="005C179D">
        <w:rPr>
          <w:color w:val="auto"/>
        </w:rPr>
        <w:t>тельных кокков (стафилококков) (табл. 6).</w:t>
      </w:r>
    </w:p>
    <w:p w14:paraId="3BCA3DA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Таблица 6. Антимикробная активность цефалоспоринов 3-го поколения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7"/>
        <w:gridCol w:w="1472"/>
        <w:gridCol w:w="1472"/>
        <w:gridCol w:w="1472"/>
        <w:gridCol w:w="1487"/>
      </w:tblGrid>
      <w:tr w:rsidR="00353761" w:rsidRPr="005C179D" w14:paraId="491101A0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58ABE072" w14:textId="77777777" w:rsidR="00353761" w:rsidRPr="005C179D" w:rsidRDefault="00353761" w:rsidP="005C179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72" w:type="dxa"/>
            <w:vAlign w:val="center"/>
          </w:tcPr>
          <w:p w14:paraId="54CE58C5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1</w:t>
            </w:r>
          </w:p>
        </w:tc>
        <w:tc>
          <w:tcPr>
            <w:tcW w:w="1472" w:type="dxa"/>
            <w:vAlign w:val="center"/>
          </w:tcPr>
          <w:p w14:paraId="0B3051DD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2</w:t>
            </w:r>
          </w:p>
        </w:tc>
        <w:tc>
          <w:tcPr>
            <w:tcW w:w="1472" w:type="dxa"/>
            <w:vAlign w:val="center"/>
          </w:tcPr>
          <w:p w14:paraId="57C14C06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3</w:t>
            </w:r>
          </w:p>
        </w:tc>
        <w:tc>
          <w:tcPr>
            <w:tcW w:w="1487" w:type="dxa"/>
            <w:vAlign w:val="center"/>
          </w:tcPr>
          <w:p w14:paraId="2D8E599F" w14:textId="77777777" w:rsidR="00353761" w:rsidRPr="005C179D" w:rsidRDefault="00353761" w:rsidP="005C179D">
            <w:pPr>
              <w:jc w:val="center"/>
              <w:rPr>
                <w:b/>
                <w:bCs/>
              </w:rPr>
            </w:pPr>
            <w:r w:rsidRPr="005C179D">
              <w:rPr>
                <w:b/>
                <w:bCs/>
              </w:rPr>
              <w:t>4</w:t>
            </w:r>
          </w:p>
        </w:tc>
      </w:tr>
      <w:tr w:rsidR="00353761" w:rsidRPr="005C179D" w14:paraId="1C6DE936" w14:textId="77777777">
        <w:trPr>
          <w:cantSplit/>
          <w:tblCellSpacing w:w="0" w:type="dxa"/>
          <w:jc w:val="center"/>
        </w:trPr>
        <w:tc>
          <w:tcPr>
            <w:tcW w:w="9000" w:type="dxa"/>
            <w:gridSpan w:val="5"/>
            <w:vAlign w:val="center"/>
          </w:tcPr>
          <w:p w14:paraId="2C78414D" w14:textId="77777777" w:rsidR="00353761" w:rsidRPr="005C179D" w:rsidRDefault="00353761" w:rsidP="005C179D">
            <w:pPr>
              <w:spacing w:before="120" w:after="120"/>
            </w:pPr>
            <w:r w:rsidRPr="005C179D">
              <w:rPr>
                <w:b/>
                <w:bCs/>
              </w:rPr>
              <w:t>Грамположительные микроорганизмы</w:t>
            </w:r>
            <w:r w:rsidRPr="005C179D">
              <w:t xml:space="preserve"> </w:t>
            </w:r>
          </w:p>
        </w:tc>
      </w:tr>
      <w:tr w:rsidR="00353761" w:rsidRPr="005C179D" w14:paraId="0CC1ABFC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3F9885F9" w14:textId="77777777" w:rsidR="00353761" w:rsidRPr="005C179D" w:rsidRDefault="00353761" w:rsidP="005C179D">
            <w:pPr>
              <w:jc w:val="both"/>
            </w:pPr>
            <w:r w:rsidRPr="005C179D">
              <w:t>St. aureus</w:t>
            </w:r>
          </w:p>
        </w:tc>
        <w:tc>
          <w:tcPr>
            <w:tcW w:w="1472" w:type="dxa"/>
            <w:vAlign w:val="center"/>
          </w:tcPr>
          <w:p w14:paraId="595874A0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1472" w:type="dxa"/>
            <w:vAlign w:val="center"/>
          </w:tcPr>
          <w:p w14:paraId="317F0FCB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1472" w:type="dxa"/>
            <w:vAlign w:val="center"/>
          </w:tcPr>
          <w:p w14:paraId="728DA746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  <w:tc>
          <w:tcPr>
            <w:tcW w:w="1487" w:type="dxa"/>
            <w:vAlign w:val="center"/>
          </w:tcPr>
          <w:p w14:paraId="3F57220A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</w:tr>
      <w:tr w:rsidR="00353761" w:rsidRPr="005C179D" w14:paraId="659E1FD1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7CEF878F" w14:textId="77777777" w:rsidR="00353761" w:rsidRPr="005C179D" w:rsidRDefault="00353761" w:rsidP="005C179D">
            <w:pPr>
              <w:jc w:val="both"/>
            </w:pPr>
            <w:r w:rsidRPr="005C179D">
              <w:t>Streptococci</w:t>
            </w:r>
          </w:p>
        </w:tc>
        <w:tc>
          <w:tcPr>
            <w:tcW w:w="1472" w:type="dxa"/>
            <w:vAlign w:val="center"/>
          </w:tcPr>
          <w:p w14:paraId="0C306ED1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72" w:type="dxa"/>
            <w:vAlign w:val="center"/>
          </w:tcPr>
          <w:p w14:paraId="3917F0C3" w14:textId="77777777" w:rsidR="00353761" w:rsidRPr="005C179D" w:rsidRDefault="00353761" w:rsidP="005C179D">
            <w:pPr>
              <w:jc w:val="center"/>
            </w:pPr>
            <w:r w:rsidRPr="005C179D">
              <w:t>$$$</w:t>
            </w:r>
          </w:p>
        </w:tc>
        <w:tc>
          <w:tcPr>
            <w:tcW w:w="1472" w:type="dxa"/>
            <w:vAlign w:val="center"/>
          </w:tcPr>
          <w:p w14:paraId="667C4274" w14:textId="77777777" w:rsidR="00353761" w:rsidRPr="005C179D" w:rsidRDefault="00353761" w:rsidP="005C179D">
            <w:pPr>
              <w:jc w:val="center"/>
            </w:pPr>
            <w:r w:rsidRPr="005C179D">
              <w:t>$$</w:t>
            </w:r>
          </w:p>
        </w:tc>
        <w:tc>
          <w:tcPr>
            <w:tcW w:w="1487" w:type="dxa"/>
            <w:vAlign w:val="center"/>
          </w:tcPr>
          <w:p w14:paraId="480E3F45" w14:textId="77777777" w:rsidR="00353761" w:rsidRPr="005C179D" w:rsidRDefault="00353761" w:rsidP="005C179D">
            <w:pPr>
              <w:jc w:val="center"/>
            </w:pPr>
            <w:r w:rsidRPr="005C179D">
              <w:t>$</w:t>
            </w:r>
          </w:p>
        </w:tc>
      </w:tr>
      <w:tr w:rsidR="00353761" w:rsidRPr="005C179D" w14:paraId="31DAD289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7E378863" w14:textId="77777777" w:rsidR="00353761" w:rsidRPr="005C179D" w:rsidRDefault="00353761" w:rsidP="005C179D">
            <w:pPr>
              <w:jc w:val="both"/>
            </w:pPr>
            <w:r w:rsidRPr="005C179D">
              <w:t>Enterococci</w:t>
            </w:r>
          </w:p>
        </w:tc>
        <w:tc>
          <w:tcPr>
            <w:tcW w:w="1472" w:type="dxa"/>
            <w:vAlign w:val="center"/>
          </w:tcPr>
          <w:p w14:paraId="33783AA6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2" w:type="dxa"/>
            <w:vAlign w:val="center"/>
          </w:tcPr>
          <w:p w14:paraId="266EAF60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2" w:type="dxa"/>
            <w:vAlign w:val="center"/>
          </w:tcPr>
          <w:p w14:paraId="7F4AAAC5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7" w:type="dxa"/>
            <w:vAlign w:val="center"/>
          </w:tcPr>
          <w:p w14:paraId="6E8650E8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  <w:tr w:rsidR="00353761" w:rsidRPr="005C179D" w14:paraId="4AE50CF2" w14:textId="77777777">
        <w:trPr>
          <w:cantSplit/>
          <w:tblCellSpacing w:w="0" w:type="dxa"/>
          <w:jc w:val="center"/>
        </w:trPr>
        <w:tc>
          <w:tcPr>
            <w:tcW w:w="9000" w:type="dxa"/>
            <w:gridSpan w:val="5"/>
            <w:vAlign w:val="center"/>
          </w:tcPr>
          <w:p w14:paraId="32CBAE28" w14:textId="77777777" w:rsidR="00353761" w:rsidRPr="005C179D" w:rsidRDefault="00353761" w:rsidP="005C179D">
            <w:pPr>
              <w:pStyle w:val="3"/>
              <w:spacing w:before="120" w:after="120" w:line="240" w:lineRule="auto"/>
              <w:rPr>
                <w:szCs w:val="24"/>
              </w:rPr>
            </w:pPr>
            <w:r w:rsidRPr="005C179D">
              <w:rPr>
                <w:szCs w:val="24"/>
              </w:rPr>
              <w:t>Грамотрицательные микроорганизмы</w:t>
            </w:r>
          </w:p>
        </w:tc>
      </w:tr>
      <w:tr w:rsidR="00353761" w:rsidRPr="005C179D" w14:paraId="20AF5C97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502E86A4" w14:textId="77777777" w:rsidR="00353761" w:rsidRPr="005C179D" w:rsidRDefault="00353761" w:rsidP="005C179D">
            <w:pPr>
              <w:jc w:val="both"/>
            </w:pPr>
            <w:r w:rsidRPr="005C179D">
              <w:rPr>
                <w:lang w:val="en-US"/>
              </w:rPr>
              <w:t>Haemophilus</w:t>
            </w:r>
            <w:r w:rsidRPr="005C179D">
              <w:t xml:space="preserve"> </w:t>
            </w:r>
            <w:r w:rsidRPr="005C179D">
              <w:rPr>
                <w:lang w:val="en-US"/>
              </w:rPr>
              <w:t>influenzae</w:t>
            </w:r>
          </w:p>
        </w:tc>
        <w:tc>
          <w:tcPr>
            <w:tcW w:w="1472" w:type="dxa"/>
            <w:vAlign w:val="center"/>
          </w:tcPr>
          <w:p w14:paraId="23F01C8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4D83C79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538D473F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7" w:type="dxa"/>
            <w:vAlign w:val="center"/>
          </w:tcPr>
          <w:p w14:paraId="6DF30FB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63ECE1B7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027FD6D0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E.coli</w:t>
            </w:r>
          </w:p>
        </w:tc>
        <w:tc>
          <w:tcPr>
            <w:tcW w:w="1472" w:type="dxa"/>
            <w:vAlign w:val="center"/>
          </w:tcPr>
          <w:p w14:paraId="7D60A7C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001067D1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106B791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7" w:type="dxa"/>
            <w:vAlign w:val="center"/>
          </w:tcPr>
          <w:p w14:paraId="06116218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5D38140E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119C1D91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Klebsiella ssp.</w:t>
            </w:r>
          </w:p>
        </w:tc>
        <w:tc>
          <w:tcPr>
            <w:tcW w:w="1472" w:type="dxa"/>
            <w:vAlign w:val="center"/>
          </w:tcPr>
          <w:p w14:paraId="2D26FD2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4BCA5A7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2CFE7CC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7" w:type="dxa"/>
            <w:vAlign w:val="center"/>
          </w:tcPr>
          <w:p w14:paraId="3A04979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3E6C7F79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4B6650A0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Serratia marcescens</w:t>
            </w:r>
          </w:p>
        </w:tc>
        <w:tc>
          <w:tcPr>
            <w:tcW w:w="1472" w:type="dxa"/>
            <w:vAlign w:val="center"/>
          </w:tcPr>
          <w:p w14:paraId="2F2FE76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5BCD867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76ABEBC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7" w:type="dxa"/>
            <w:vAlign w:val="center"/>
          </w:tcPr>
          <w:p w14:paraId="3C8110C1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19B6BEBD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63632A1C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Proteus mirabilis</w:t>
            </w:r>
          </w:p>
        </w:tc>
        <w:tc>
          <w:tcPr>
            <w:tcW w:w="1472" w:type="dxa"/>
            <w:vAlign w:val="center"/>
          </w:tcPr>
          <w:p w14:paraId="6E535640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0E20CC8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72" w:type="dxa"/>
            <w:vAlign w:val="center"/>
          </w:tcPr>
          <w:p w14:paraId="1B538434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  <w:tc>
          <w:tcPr>
            <w:tcW w:w="1487" w:type="dxa"/>
            <w:vAlign w:val="center"/>
          </w:tcPr>
          <w:p w14:paraId="6E038FF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35600E8A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12C02192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Pseudomonas aeruginosa</w:t>
            </w:r>
          </w:p>
        </w:tc>
        <w:tc>
          <w:tcPr>
            <w:tcW w:w="1472" w:type="dxa"/>
            <w:vAlign w:val="center"/>
          </w:tcPr>
          <w:p w14:paraId="6FD48766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72" w:type="dxa"/>
            <w:vAlign w:val="center"/>
          </w:tcPr>
          <w:p w14:paraId="475B3815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&amp;</w:t>
            </w:r>
          </w:p>
        </w:tc>
        <w:tc>
          <w:tcPr>
            <w:tcW w:w="1472" w:type="dxa"/>
            <w:vAlign w:val="center"/>
          </w:tcPr>
          <w:p w14:paraId="11836A5A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1487" w:type="dxa"/>
            <w:vAlign w:val="center"/>
          </w:tcPr>
          <w:p w14:paraId="7993C7AC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$$$</w:t>
            </w:r>
          </w:p>
        </w:tc>
      </w:tr>
      <w:tr w:rsidR="00353761" w:rsidRPr="005C179D" w14:paraId="3616E086" w14:textId="77777777">
        <w:trPr>
          <w:cantSplit/>
          <w:tblCellSpacing w:w="0" w:type="dxa"/>
          <w:jc w:val="center"/>
        </w:trPr>
        <w:tc>
          <w:tcPr>
            <w:tcW w:w="9000" w:type="dxa"/>
            <w:gridSpan w:val="5"/>
            <w:vAlign w:val="center"/>
          </w:tcPr>
          <w:p w14:paraId="411AA41E" w14:textId="77777777" w:rsidR="00353761" w:rsidRPr="005C179D" w:rsidRDefault="00353761" w:rsidP="005C179D">
            <w:pPr>
              <w:pStyle w:val="4"/>
              <w:spacing w:before="120" w:after="120" w:line="240" w:lineRule="auto"/>
              <w:rPr>
                <w:szCs w:val="24"/>
                <w:lang w:val="en-US"/>
              </w:rPr>
            </w:pPr>
            <w:r w:rsidRPr="005C179D">
              <w:rPr>
                <w:szCs w:val="24"/>
              </w:rPr>
              <w:t>Анаэробы</w:t>
            </w:r>
          </w:p>
        </w:tc>
      </w:tr>
      <w:tr w:rsidR="00353761" w:rsidRPr="005C179D" w14:paraId="50645D9A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26B0556A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Clostridii</w:t>
            </w:r>
          </w:p>
        </w:tc>
        <w:tc>
          <w:tcPr>
            <w:tcW w:w="1472" w:type="dxa"/>
            <w:vAlign w:val="center"/>
          </w:tcPr>
          <w:p w14:paraId="55C98A17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1472" w:type="dxa"/>
            <w:vAlign w:val="center"/>
          </w:tcPr>
          <w:p w14:paraId="2FC3723E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1472" w:type="dxa"/>
            <w:vAlign w:val="center"/>
          </w:tcPr>
          <w:p w14:paraId="78027ED9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  <w:tc>
          <w:tcPr>
            <w:tcW w:w="1487" w:type="dxa"/>
            <w:vAlign w:val="center"/>
          </w:tcPr>
          <w:p w14:paraId="12C9523B" w14:textId="77777777" w:rsidR="00353761" w:rsidRPr="005C179D" w:rsidRDefault="00353761" w:rsidP="005C179D">
            <w:pPr>
              <w:jc w:val="center"/>
              <w:rPr>
                <w:lang w:val="en-US"/>
              </w:rPr>
            </w:pPr>
            <w:r w:rsidRPr="005C179D">
              <w:rPr>
                <w:lang w:val="en-US"/>
              </w:rPr>
              <w:t>$</w:t>
            </w:r>
          </w:p>
        </w:tc>
      </w:tr>
      <w:tr w:rsidR="00353761" w:rsidRPr="005C179D" w14:paraId="1910B4EB" w14:textId="77777777">
        <w:trPr>
          <w:tblCellSpacing w:w="0" w:type="dxa"/>
          <w:jc w:val="center"/>
        </w:trPr>
        <w:tc>
          <w:tcPr>
            <w:tcW w:w="3097" w:type="dxa"/>
            <w:vAlign w:val="center"/>
          </w:tcPr>
          <w:p w14:paraId="3567B151" w14:textId="77777777" w:rsidR="00353761" w:rsidRPr="005C179D" w:rsidRDefault="00353761" w:rsidP="005C179D">
            <w:pPr>
              <w:jc w:val="both"/>
              <w:rPr>
                <w:lang w:val="en-US"/>
              </w:rPr>
            </w:pPr>
            <w:r w:rsidRPr="005C179D">
              <w:rPr>
                <w:lang w:val="en-US"/>
              </w:rPr>
              <w:t>Bacteroides fragilis</w:t>
            </w:r>
          </w:p>
        </w:tc>
        <w:tc>
          <w:tcPr>
            <w:tcW w:w="1472" w:type="dxa"/>
            <w:vAlign w:val="center"/>
          </w:tcPr>
          <w:p w14:paraId="660A3821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2" w:type="dxa"/>
            <w:vAlign w:val="center"/>
          </w:tcPr>
          <w:p w14:paraId="311843AC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72" w:type="dxa"/>
            <w:vAlign w:val="center"/>
          </w:tcPr>
          <w:p w14:paraId="0AE8F6BA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  <w:tc>
          <w:tcPr>
            <w:tcW w:w="1487" w:type="dxa"/>
            <w:vAlign w:val="center"/>
          </w:tcPr>
          <w:p w14:paraId="264DFDDC" w14:textId="77777777" w:rsidR="00353761" w:rsidRPr="005C179D" w:rsidRDefault="00353761" w:rsidP="005C179D">
            <w:pPr>
              <w:jc w:val="center"/>
            </w:pPr>
            <w:r w:rsidRPr="005C179D">
              <w:t>&amp;</w:t>
            </w:r>
          </w:p>
        </w:tc>
      </w:tr>
    </w:tbl>
    <w:p w14:paraId="30F9669A" w14:textId="77777777" w:rsidR="00353761" w:rsidRPr="005C179D" w:rsidRDefault="00353761" w:rsidP="005C179D">
      <w:pPr>
        <w:ind w:firstLine="567"/>
        <w:jc w:val="both"/>
        <w:rPr>
          <w:vanish/>
        </w:rPr>
      </w:pPr>
    </w:p>
    <w:tbl>
      <w:tblPr>
        <w:tblW w:w="663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  <w:gridCol w:w="2699"/>
      </w:tblGrid>
      <w:tr w:rsidR="00353761" w:rsidRPr="005C179D" w14:paraId="76E1C997" w14:textId="77777777">
        <w:trPr>
          <w:cantSplit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AE1E381" w14:textId="77777777" w:rsidR="00353761" w:rsidRPr="005C179D" w:rsidRDefault="00353761" w:rsidP="005C179D">
            <w:r w:rsidRPr="005C179D">
              <w:t>Примечание: </w:t>
            </w:r>
          </w:p>
        </w:tc>
      </w:tr>
      <w:tr w:rsidR="00353761" w:rsidRPr="005C179D" w14:paraId="4919052D" w14:textId="77777777">
        <w:trPr>
          <w:tblCellSpacing w:w="0" w:type="dxa"/>
          <w:jc w:val="center"/>
        </w:trPr>
        <w:tc>
          <w:tcPr>
            <w:tcW w:w="2967" w:type="pct"/>
            <w:vAlign w:val="center"/>
          </w:tcPr>
          <w:p w14:paraId="4EFF9E44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1. Цефотаксим</w:t>
            </w:r>
          </w:p>
          <w:p w14:paraId="3F676CA5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2. Цефтриаксон (роцефин, лонгацеф)</w:t>
            </w:r>
          </w:p>
          <w:p w14:paraId="7DBFDCE4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3. Цефоперазон (цефобид)</w:t>
            </w:r>
          </w:p>
          <w:p w14:paraId="448A06B2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 xml:space="preserve">4. Цефтазидим (фортум) </w:t>
            </w:r>
          </w:p>
        </w:tc>
        <w:tc>
          <w:tcPr>
            <w:tcW w:w="2033" w:type="pct"/>
          </w:tcPr>
          <w:p w14:paraId="7E2FBBD8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$$$ - очень хорошая</w:t>
            </w:r>
          </w:p>
          <w:p w14:paraId="08463DDD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$$ - хорошая</w:t>
            </w:r>
          </w:p>
          <w:p w14:paraId="09C00C73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$ - слабая</w:t>
            </w:r>
          </w:p>
          <w:p w14:paraId="27AA3DFE" w14:textId="77777777" w:rsidR="00353761" w:rsidRPr="005C179D" w:rsidRDefault="00353761" w:rsidP="005C179D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5C179D">
              <w:rPr>
                <w:color w:val="auto"/>
              </w:rPr>
              <w:t>&amp;- действие отсутствует</w:t>
            </w:r>
          </w:p>
        </w:tc>
      </w:tr>
    </w:tbl>
    <w:p w14:paraId="5FE8694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Цефотаксим (клафоран) активен в отношении S.pneumoniae, S.pyogenes, H.influenzae, Neisseria spp., умеренно активен в отношении S.aureus. Препарат высокоэффективен против E.coli, Proteus mirabilis, Klebsiella spp. и других представителей семейства Enterobacteriaceae, не продуцирующих бета-лактамазы (Bush 1). Цефотаксим не проявляет клинически значимой а</w:t>
      </w:r>
      <w:r w:rsidRPr="005C179D">
        <w:rPr>
          <w:color w:val="auto"/>
        </w:rPr>
        <w:t>н</w:t>
      </w:r>
      <w:r w:rsidRPr="005C179D">
        <w:rPr>
          <w:color w:val="auto"/>
        </w:rPr>
        <w:t>типсевдом</w:t>
      </w:r>
      <w:r w:rsidRPr="005C179D">
        <w:rPr>
          <w:color w:val="auto"/>
        </w:rPr>
        <w:t>о</w:t>
      </w:r>
      <w:r w:rsidRPr="005C179D">
        <w:rPr>
          <w:color w:val="auto"/>
        </w:rPr>
        <w:t>надной активности (P.aeruginosa, несинегнойные псевдомонады).</w:t>
      </w:r>
    </w:p>
    <w:p w14:paraId="721B07F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Цефтриаксон (роцефин) характеризуется как самый активный цефалоспорин 3-го пок</w:t>
      </w:r>
      <w:r w:rsidRPr="005C179D">
        <w:rPr>
          <w:color w:val="auto"/>
        </w:rPr>
        <w:t>о</w:t>
      </w:r>
      <w:r w:rsidRPr="005C179D">
        <w:rPr>
          <w:color w:val="auto"/>
        </w:rPr>
        <w:t>ления в отношении некоторых микроорганизмов - N.gonorrhoeae, N.meningitidis, H.influenzae. Препарат обладает уникальными фармакокинетическими характеристиками. В сравнении с большинством цефалоспоринов, период полувыведения которых, определяющий кратность введения, составляет 0,5-2 ч, у цефтриаксона этот показатель равняется 8 ч. В связи с этим пр</w:t>
      </w:r>
      <w:r w:rsidRPr="005C179D">
        <w:rPr>
          <w:color w:val="auto"/>
        </w:rPr>
        <w:t>е</w:t>
      </w:r>
      <w:r w:rsidRPr="005C179D">
        <w:rPr>
          <w:color w:val="auto"/>
        </w:rPr>
        <w:t>парат можно вводить один раз в сутки.</w:t>
      </w:r>
    </w:p>
    <w:p w14:paraId="120DFD7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Одно из основных требований, предъявляемых к антибиотикам, которые используют при л</w:t>
      </w:r>
      <w:r w:rsidRPr="005C179D">
        <w:rPr>
          <w:color w:val="auto"/>
        </w:rPr>
        <w:t>е</w:t>
      </w:r>
      <w:r w:rsidRPr="005C179D">
        <w:rPr>
          <w:color w:val="auto"/>
        </w:rPr>
        <w:t>чении менингита, - способность проникать через гематоэнцефалический барьер. Если мягкая мо</w:t>
      </w:r>
      <w:r w:rsidRPr="005C179D">
        <w:rPr>
          <w:color w:val="auto"/>
        </w:rPr>
        <w:t>з</w:t>
      </w:r>
      <w:r w:rsidRPr="005C179D">
        <w:rPr>
          <w:color w:val="auto"/>
        </w:rPr>
        <w:t>говая оболочка интактна, то концентрация цефтриаксона в цереброспинальной жидкости относительно невелика, однако при развитии менингита она значительно возрастает. Содерж</w:t>
      </w:r>
      <w:r w:rsidRPr="005C179D">
        <w:rPr>
          <w:color w:val="auto"/>
        </w:rPr>
        <w:t>а</w:t>
      </w:r>
      <w:r w:rsidRPr="005C179D">
        <w:rPr>
          <w:color w:val="auto"/>
        </w:rPr>
        <w:t>ние лека</w:t>
      </w:r>
      <w:r w:rsidRPr="005C179D">
        <w:rPr>
          <w:color w:val="auto"/>
        </w:rPr>
        <w:t>р</w:t>
      </w:r>
      <w:r w:rsidRPr="005C179D">
        <w:rPr>
          <w:color w:val="auto"/>
        </w:rPr>
        <w:t>ственного вещества в цереброспинальной жидкости при этом достигает 7-11% от его концентр</w:t>
      </w:r>
      <w:r w:rsidRPr="005C179D">
        <w:rPr>
          <w:color w:val="auto"/>
        </w:rPr>
        <w:t>а</w:t>
      </w:r>
      <w:r w:rsidRPr="005C179D">
        <w:rPr>
          <w:color w:val="auto"/>
        </w:rPr>
        <w:t>ции в сыворотке крови, что в 5-10 раз превосходит минимальную ингибирующую концентрацию для актуальных возбудителей гнойного менингита.</w:t>
      </w:r>
    </w:p>
    <w:p w14:paraId="3DC119E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Далее перечислены цефалоспорины 3-го поколения с подчеркнутой активностью в о</w:t>
      </w:r>
      <w:r w:rsidRPr="005C179D">
        <w:rPr>
          <w:color w:val="auto"/>
        </w:rPr>
        <w:t>т</w:t>
      </w:r>
      <w:r w:rsidRPr="005C179D">
        <w:rPr>
          <w:color w:val="auto"/>
        </w:rPr>
        <w:t>ношении P.aeruginosa.</w:t>
      </w:r>
    </w:p>
    <w:p w14:paraId="340B15F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Цефоперазон (цефобид): около 50% клинических изолятов синегнойной палочки оказ</w:t>
      </w:r>
      <w:r w:rsidRPr="005C179D">
        <w:rPr>
          <w:color w:val="auto"/>
        </w:rPr>
        <w:t>ы</w:t>
      </w:r>
      <w:r w:rsidRPr="005C179D">
        <w:rPr>
          <w:color w:val="auto"/>
        </w:rPr>
        <w:t>ваются чувствительными к препарату. Цефоперазон проявляет меньшую в сравнении с цеф</w:t>
      </w:r>
      <w:r w:rsidRPr="005C179D">
        <w:rPr>
          <w:color w:val="auto"/>
        </w:rPr>
        <w:t>о</w:t>
      </w:r>
      <w:r w:rsidRPr="005C179D">
        <w:rPr>
          <w:color w:val="auto"/>
        </w:rPr>
        <w:t>таксимом активность в отношении грамположительных кокков и грамотрицательных палочек. Препарат а</w:t>
      </w:r>
      <w:r w:rsidRPr="005C179D">
        <w:rPr>
          <w:color w:val="auto"/>
        </w:rPr>
        <w:t>к</w:t>
      </w:r>
      <w:r w:rsidRPr="005C179D">
        <w:rPr>
          <w:color w:val="auto"/>
        </w:rPr>
        <w:t>тивно связывается с белками плазмы, характеризуется относительно небольшим объемом распр</w:t>
      </w:r>
      <w:r w:rsidRPr="005C179D">
        <w:rPr>
          <w:color w:val="auto"/>
        </w:rPr>
        <w:t>е</w:t>
      </w:r>
      <w:r w:rsidRPr="005C179D">
        <w:rPr>
          <w:color w:val="auto"/>
        </w:rPr>
        <w:t>деления и, несмотря на достижение высокой концентрации в сыворотке крови, не проникает в ц</w:t>
      </w:r>
      <w:r w:rsidRPr="005C179D">
        <w:rPr>
          <w:color w:val="auto"/>
        </w:rPr>
        <w:t>е</w:t>
      </w:r>
      <w:r w:rsidRPr="005C179D">
        <w:rPr>
          <w:color w:val="auto"/>
        </w:rPr>
        <w:t>реброспинальную жидкость.</w:t>
      </w:r>
    </w:p>
    <w:p w14:paraId="2857AD2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Цефтазидим (фортум) характеризуется низкой чувствительностью к большинству инд</w:t>
      </w:r>
      <w:r w:rsidRPr="005C179D">
        <w:rPr>
          <w:color w:val="auto"/>
        </w:rPr>
        <w:t>у</w:t>
      </w:r>
      <w:r w:rsidRPr="005C179D">
        <w:rPr>
          <w:color w:val="auto"/>
        </w:rPr>
        <w:t>цибельных бета-лактамаз, обладает выраженной активностью в отношении грамотрицательных бактерий, включая синегнойную палочку. В сравнении с другими представителями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ринов 3-го поколения оказывает наименее выраженное бактерицидное действие на B.fragilis и стафил</w:t>
      </w:r>
      <w:r w:rsidRPr="005C179D">
        <w:rPr>
          <w:color w:val="auto"/>
        </w:rPr>
        <w:t>о</w:t>
      </w:r>
      <w:r w:rsidRPr="005C179D">
        <w:rPr>
          <w:color w:val="auto"/>
        </w:rPr>
        <w:t>кокки (15-25%).</w:t>
      </w:r>
    </w:p>
    <w:p w14:paraId="4699AE7E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b/>
          <w:bCs/>
          <w:color w:val="auto"/>
        </w:rPr>
        <w:t>Клиническое применение цефалоспоринов 3-го поколения.</w:t>
      </w:r>
      <w:r w:rsidRPr="005C179D">
        <w:rPr>
          <w:color w:val="auto"/>
        </w:rPr>
        <w:t xml:space="preserve"> В настоящее время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лоспорины 3-го поколения справедливо занимают одну из ключевых позиций в химиотерапии инфекционных заболеваний. Особое значение в клинической практике имеет высокая акти</w:t>
      </w:r>
      <w:r w:rsidRPr="005C179D">
        <w:rPr>
          <w:color w:val="auto"/>
        </w:rPr>
        <w:t>в</w:t>
      </w:r>
      <w:r w:rsidRPr="005C179D">
        <w:rPr>
          <w:color w:val="auto"/>
        </w:rPr>
        <w:t>ность этих антибиотиков в отношении грамотрицательных микроорганизмов, часто резистен</w:t>
      </w:r>
      <w:r w:rsidRPr="005C179D">
        <w:rPr>
          <w:color w:val="auto"/>
        </w:rPr>
        <w:t>т</w:t>
      </w:r>
      <w:r w:rsidRPr="005C179D">
        <w:rPr>
          <w:color w:val="auto"/>
        </w:rPr>
        <w:t>ных к больши</w:t>
      </w:r>
      <w:r w:rsidRPr="005C179D">
        <w:rPr>
          <w:color w:val="auto"/>
        </w:rPr>
        <w:t>н</w:t>
      </w:r>
      <w:r w:rsidRPr="005C179D">
        <w:rPr>
          <w:color w:val="auto"/>
        </w:rPr>
        <w:t>ству других бета-лактамов. Поскольку эти микроорганизмы, прежде всего аэробные грамотрицательные палочки, в исключительно редких случаях являются возбудит</w:t>
      </w:r>
      <w:r w:rsidRPr="005C179D">
        <w:rPr>
          <w:color w:val="auto"/>
        </w:rPr>
        <w:t>е</w:t>
      </w:r>
      <w:r w:rsidRPr="005C179D">
        <w:rPr>
          <w:color w:val="auto"/>
        </w:rPr>
        <w:t>лями внебольничных и</w:t>
      </w:r>
      <w:r w:rsidRPr="005C179D">
        <w:rPr>
          <w:color w:val="auto"/>
        </w:rPr>
        <w:t>н</w:t>
      </w:r>
      <w:r w:rsidRPr="005C179D">
        <w:rPr>
          <w:color w:val="auto"/>
        </w:rPr>
        <w:t>фекций, очевидно, что цефалоспорины 3-го поколения нецелесообразно назначать в данных кл</w:t>
      </w:r>
      <w:r w:rsidRPr="005C179D">
        <w:rPr>
          <w:color w:val="auto"/>
        </w:rPr>
        <w:t>и</w:t>
      </w:r>
      <w:r w:rsidRPr="005C179D">
        <w:rPr>
          <w:color w:val="auto"/>
        </w:rPr>
        <w:t>нических ситуациях. Эти препараты можно применять только в случаях тяжело протекающей вн</w:t>
      </w:r>
      <w:r w:rsidRPr="005C179D">
        <w:rPr>
          <w:color w:val="auto"/>
        </w:rPr>
        <w:t>е</w:t>
      </w:r>
      <w:r w:rsidRPr="005C179D">
        <w:rPr>
          <w:color w:val="auto"/>
        </w:rPr>
        <w:t>больничной инфекции (с большой долей вероятности ассоциируемой с E.coli, Proteus mirabilis, K.pneumoniae и др.).</w:t>
      </w:r>
    </w:p>
    <w:p w14:paraId="10C7FA0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Цефтриаксон и цефотаксим зарекомендовали себя как высокоэффективные препараты при лечении нозокомиальных инфекций, вызываемых чувствительными к ним микрооргани</w:t>
      </w:r>
      <w:r w:rsidRPr="005C179D">
        <w:rPr>
          <w:color w:val="auto"/>
        </w:rPr>
        <w:t>з</w:t>
      </w:r>
      <w:r w:rsidRPr="005C179D">
        <w:rPr>
          <w:color w:val="auto"/>
        </w:rPr>
        <w:t>мами (пневмония, раневая инфекция, осложненная инфекция мочевыводящих путей). Однако, если лечение нозокомиальной инфекции начинают эмпирически, т.е. в отсутствие микробиол</w:t>
      </w:r>
      <w:r w:rsidRPr="005C179D">
        <w:rPr>
          <w:color w:val="auto"/>
        </w:rPr>
        <w:t>о</w:t>
      </w:r>
      <w:r w:rsidRPr="005C179D">
        <w:rPr>
          <w:color w:val="auto"/>
        </w:rPr>
        <w:t>гического диагноза, то следует помнить о возможном участии в развитии инфекционного пр</w:t>
      </w:r>
      <w:r w:rsidRPr="005C179D">
        <w:rPr>
          <w:color w:val="auto"/>
        </w:rPr>
        <w:t>о</w:t>
      </w:r>
      <w:r w:rsidRPr="005C179D">
        <w:rPr>
          <w:color w:val="auto"/>
        </w:rPr>
        <w:t>цесса резистентной к цефалоспоринам 3-го поколения микрофлоры (синегнойная палочка, м</w:t>
      </w:r>
      <w:r w:rsidRPr="005C179D">
        <w:rPr>
          <w:color w:val="auto"/>
        </w:rPr>
        <w:t>е</w:t>
      </w:r>
      <w:r w:rsidRPr="005C179D">
        <w:rPr>
          <w:color w:val="auto"/>
        </w:rPr>
        <w:t>тици</w:t>
      </w:r>
      <w:r w:rsidRPr="005C179D">
        <w:rPr>
          <w:color w:val="auto"/>
        </w:rPr>
        <w:t>л</w:t>
      </w:r>
      <w:r w:rsidRPr="005C179D">
        <w:rPr>
          <w:color w:val="auto"/>
        </w:rPr>
        <w:t>линрезистентные стафилококки - MRSA, энтерококки). В связи с этим при проведении инициальной эмпирической терапии тяжелой нозокомиальной инфекции, как правило, предп</w:t>
      </w:r>
      <w:r w:rsidRPr="005C179D">
        <w:rPr>
          <w:color w:val="auto"/>
        </w:rPr>
        <w:t>о</w:t>
      </w:r>
      <w:r w:rsidRPr="005C179D">
        <w:rPr>
          <w:color w:val="auto"/>
        </w:rPr>
        <w:t>лагае</w:t>
      </w:r>
      <w:r w:rsidRPr="005C179D">
        <w:rPr>
          <w:color w:val="auto"/>
        </w:rPr>
        <w:t>т</w:t>
      </w:r>
      <w:r w:rsidRPr="005C179D">
        <w:rPr>
          <w:color w:val="auto"/>
        </w:rPr>
        <w:t>ся сочетанное назначение цефалоспоринов и аминогликозидов.</w:t>
      </w:r>
    </w:p>
    <w:p w14:paraId="62CED73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 широким и не всегда оправданным (особенно при внебольничной инфекции) примен</w:t>
      </w:r>
      <w:r w:rsidRPr="005C179D">
        <w:rPr>
          <w:color w:val="auto"/>
        </w:rPr>
        <w:t>е</w:t>
      </w:r>
      <w:r w:rsidRPr="005C179D">
        <w:rPr>
          <w:color w:val="auto"/>
        </w:rPr>
        <w:t>нием цефалоспоринов 3-го поколения связана все увеличивающаяся частота выявления клин</w:t>
      </w:r>
      <w:r w:rsidRPr="005C179D">
        <w:rPr>
          <w:color w:val="auto"/>
        </w:rPr>
        <w:t>и</w:t>
      </w:r>
      <w:r w:rsidRPr="005C179D">
        <w:rPr>
          <w:color w:val="auto"/>
        </w:rPr>
        <w:t>ческих изолятов Enterobacter spp. (особенно, Е.cloacae), Citrobacter freundii, Serratia marcescens и других микроорганизмов, резистентных к их действию. Это обстоятельство является дополн</w:t>
      </w:r>
      <w:r w:rsidRPr="005C179D">
        <w:rPr>
          <w:color w:val="auto"/>
        </w:rPr>
        <w:t>и</w:t>
      </w:r>
      <w:r w:rsidRPr="005C179D">
        <w:rPr>
          <w:color w:val="auto"/>
        </w:rPr>
        <w:t>тельным аргументом, подтверждающим необходимость использования комбинации антибиот</w:t>
      </w:r>
      <w:r w:rsidRPr="005C179D">
        <w:rPr>
          <w:color w:val="auto"/>
        </w:rPr>
        <w:t>и</w:t>
      </w:r>
      <w:r w:rsidRPr="005C179D">
        <w:rPr>
          <w:color w:val="auto"/>
        </w:rPr>
        <w:t>ков при леч</w:t>
      </w:r>
      <w:r w:rsidRPr="005C179D">
        <w:rPr>
          <w:color w:val="auto"/>
        </w:rPr>
        <w:t>е</w:t>
      </w:r>
      <w:r w:rsidRPr="005C179D">
        <w:rPr>
          <w:color w:val="auto"/>
        </w:rPr>
        <w:t>нии тяжело протекающей нозокомиальной инфекции.</w:t>
      </w:r>
    </w:p>
    <w:p w14:paraId="34237DE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Цефтриаксон и цефотаксим зарекомендовали себя как наиболее эффективные антими</w:t>
      </w:r>
      <w:r w:rsidRPr="005C179D">
        <w:rPr>
          <w:color w:val="auto"/>
        </w:rPr>
        <w:t>к</w:t>
      </w:r>
      <w:r w:rsidRPr="005C179D">
        <w:rPr>
          <w:color w:val="auto"/>
        </w:rPr>
        <w:t>робные средства лечения менингита, обусловленного H.influenzae, S.pneumoniae, N.meningitidis. При лечении менингита в педиатрической практике цефтриаксон по эффективности значител</w:t>
      </w:r>
      <w:r w:rsidRPr="005C179D">
        <w:rPr>
          <w:color w:val="auto"/>
        </w:rPr>
        <w:t>ь</w:t>
      </w:r>
      <w:r w:rsidRPr="005C179D">
        <w:rPr>
          <w:color w:val="auto"/>
        </w:rPr>
        <w:t>но пр</w:t>
      </w:r>
      <w:r w:rsidRPr="005C179D">
        <w:rPr>
          <w:color w:val="auto"/>
        </w:rPr>
        <w:t>е</w:t>
      </w:r>
      <w:r w:rsidRPr="005C179D">
        <w:rPr>
          <w:color w:val="auto"/>
        </w:rPr>
        <w:t>восходит ранее традиционно использовавшиеся с этой целью комбинации антибиотиков (ампициллин + хлорамфеникол или ампициллин + гентамицин). В настоящее время Цефтриа</w:t>
      </w:r>
      <w:r w:rsidRPr="005C179D">
        <w:rPr>
          <w:color w:val="auto"/>
        </w:rPr>
        <w:t>к</w:t>
      </w:r>
      <w:r w:rsidRPr="005C179D">
        <w:rPr>
          <w:color w:val="auto"/>
        </w:rPr>
        <w:t>сон и ц</w:t>
      </w:r>
      <w:r w:rsidRPr="005C179D">
        <w:rPr>
          <w:color w:val="auto"/>
        </w:rPr>
        <w:t>е</w:t>
      </w:r>
      <w:r w:rsidRPr="005C179D">
        <w:rPr>
          <w:color w:val="auto"/>
        </w:rPr>
        <w:t>фотаксим рассматривают как средства эмпирической терапии менингита у детей и лиц пожилого возраста, а в случае выделения из цереброспинальной жидкости H.influenzae эти пр</w:t>
      </w:r>
      <w:r w:rsidRPr="005C179D">
        <w:rPr>
          <w:color w:val="auto"/>
        </w:rPr>
        <w:t>е</w:t>
      </w:r>
      <w:r w:rsidRPr="005C179D">
        <w:rPr>
          <w:color w:val="auto"/>
        </w:rPr>
        <w:t>параты становятся средствами выбора. Данные антибиотики также высокоэффективны при м</w:t>
      </w:r>
      <w:r w:rsidRPr="005C179D">
        <w:rPr>
          <w:color w:val="auto"/>
        </w:rPr>
        <w:t>е</w:t>
      </w:r>
      <w:r w:rsidRPr="005C179D">
        <w:rPr>
          <w:color w:val="auto"/>
        </w:rPr>
        <w:t>нингите, вызва</w:t>
      </w:r>
      <w:r w:rsidRPr="005C179D">
        <w:rPr>
          <w:color w:val="auto"/>
        </w:rPr>
        <w:t>н</w:t>
      </w:r>
      <w:r w:rsidRPr="005C179D">
        <w:rPr>
          <w:color w:val="auto"/>
        </w:rPr>
        <w:t>ном другими грамотрицательными палочками, за исключением P.aeruginosa (препарат выбора - цефтазидим) и Enterobacter spp. (препарат выбора - триметоприм /сульфаметоксазол). Цефтриаксон с успехом применяют и при лечении пневмококкового м</w:t>
      </w:r>
      <w:r w:rsidRPr="005C179D">
        <w:rPr>
          <w:color w:val="auto"/>
        </w:rPr>
        <w:t>е</w:t>
      </w:r>
      <w:r w:rsidRPr="005C179D">
        <w:rPr>
          <w:color w:val="auto"/>
        </w:rPr>
        <w:t>нингита (в случае резистентности S.pneumoniae к пенициллину).</w:t>
      </w:r>
    </w:p>
    <w:p w14:paraId="50A1B26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С учетом высокого бактерицидного потенциала цефтазидима в отношении синегнойной палочки за ним закреплен статус резервного препарата (назначение оправдано при доказанной и</w:t>
      </w:r>
      <w:r w:rsidRPr="005C179D">
        <w:rPr>
          <w:color w:val="auto"/>
        </w:rPr>
        <w:t>н</w:t>
      </w:r>
      <w:r w:rsidRPr="005C179D">
        <w:rPr>
          <w:color w:val="auto"/>
        </w:rPr>
        <w:t>фекции, обусловленной P.aeruginosa, или подозрении на нее).</w:t>
      </w:r>
    </w:p>
    <w:p w14:paraId="6644F43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3-го поколения часто назначают в рамках эмпирической терапии у л</w:t>
      </w:r>
      <w:r w:rsidRPr="005C179D">
        <w:rPr>
          <w:color w:val="auto"/>
        </w:rPr>
        <w:t>и</w:t>
      </w:r>
      <w:r w:rsidRPr="005C179D">
        <w:rPr>
          <w:color w:val="auto"/>
        </w:rPr>
        <w:t>хорадящих больных с нейтропенией (как правило, это комбинация цефтазидима и аминоглик</w:t>
      </w:r>
      <w:r w:rsidRPr="005C179D">
        <w:rPr>
          <w:color w:val="auto"/>
        </w:rPr>
        <w:t>о</w:t>
      </w:r>
      <w:r w:rsidRPr="005C179D">
        <w:rPr>
          <w:color w:val="auto"/>
        </w:rPr>
        <w:t>зидов).</w:t>
      </w:r>
    </w:p>
    <w:p w14:paraId="7E5934D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Благодаря широкому спектру антибактериальной активности цефалоспорины 3-го пок</w:t>
      </w:r>
      <w:r w:rsidRPr="005C179D">
        <w:rPr>
          <w:color w:val="auto"/>
        </w:rPr>
        <w:t>о</w:t>
      </w:r>
      <w:r w:rsidRPr="005C179D">
        <w:rPr>
          <w:color w:val="auto"/>
        </w:rPr>
        <w:t>ления применяют также при лечении ряда специфических инфекционных заболеваний. Так, н</w:t>
      </w:r>
      <w:r w:rsidRPr="005C179D">
        <w:rPr>
          <w:color w:val="auto"/>
        </w:rPr>
        <w:t>а</w:t>
      </w:r>
      <w:r w:rsidRPr="005C179D">
        <w:rPr>
          <w:color w:val="auto"/>
        </w:rPr>
        <w:t>пример, в США ввиду возросшей резистентности N.gonorrhoeae к большинству антибиотиков цефтриаксон стал самым популярным препаратом, назначаемым больным с гонококковой и</w:t>
      </w:r>
      <w:r w:rsidRPr="005C179D">
        <w:rPr>
          <w:color w:val="auto"/>
        </w:rPr>
        <w:t>н</w:t>
      </w:r>
      <w:r w:rsidRPr="005C179D">
        <w:rPr>
          <w:color w:val="auto"/>
        </w:rPr>
        <w:t>фекцией. Однократное введение цефтриаксона - высокоэффективный метод лечения шанкро</w:t>
      </w:r>
      <w:r w:rsidRPr="005C179D">
        <w:rPr>
          <w:color w:val="auto"/>
        </w:rPr>
        <w:t>и</w:t>
      </w:r>
      <w:r w:rsidRPr="005C179D">
        <w:rPr>
          <w:color w:val="auto"/>
        </w:rPr>
        <w:t>да. Препарат пр</w:t>
      </w:r>
      <w:r w:rsidRPr="005C179D">
        <w:rPr>
          <w:color w:val="auto"/>
        </w:rPr>
        <w:t>е</w:t>
      </w:r>
      <w:r w:rsidRPr="005C179D">
        <w:rPr>
          <w:color w:val="auto"/>
        </w:rPr>
        <w:t>красно зарекомендовал себя и при лечении болезни Лайма (кардита, артритов, неврологических расстройств).</w:t>
      </w:r>
    </w:p>
    <w:p w14:paraId="3F4E41E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Высокая бактерицидная активность цефтриаксона в отношении представителей семейс</w:t>
      </w:r>
      <w:r w:rsidRPr="005C179D">
        <w:rPr>
          <w:color w:val="auto"/>
        </w:rPr>
        <w:t>т</w:t>
      </w:r>
      <w:r w:rsidRPr="005C179D">
        <w:rPr>
          <w:color w:val="auto"/>
        </w:rPr>
        <w:t>ва Streptoсоссасеае (исключая энтерококки) позволяет рассматривать его как альтернативу тр</w:t>
      </w:r>
      <w:r w:rsidRPr="005C179D">
        <w:rPr>
          <w:color w:val="auto"/>
        </w:rPr>
        <w:t>а</w:t>
      </w:r>
      <w:r w:rsidRPr="005C179D">
        <w:rPr>
          <w:color w:val="auto"/>
        </w:rPr>
        <w:t>диционных схем антибактериальной терапии стрептококкового эндокардита.</w:t>
      </w:r>
    </w:p>
    <w:p w14:paraId="384219B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3-го поколения нередко назначают больным острым неосложненным циститом или пиелонефритом, если предшествующая терапия триметопр</w:t>
      </w:r>
      <w:r w:rsidRPr="005C179D">
        <w:rPr>
          <w:color w:val="auto"/>
        </w:rPr>
        <w:t>и</w:t>
      </w:r>
      <w:r w:rsidRPr="005C179D">
        <w:rPr>
          <w:color w:val="auto"/>
        </w:rPr>
        <w:t xml:space="preserve">мом/сульфаметоксазолом или фторхинолонами оказалась неэффективной. </w:t>
      </w:r>
    </w:p>
    <w:p w14:paraId="5AE29964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Цефалоспорины 4-го поколения</w:t>
      </w:r>
    </w:p>
    <w:p w14:paraId="42236579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Как уже отмечалось, активное и не всегда оправданное применение цефалоспоринов 3-го п</w:t>
      </w:r>
      <w:r w:rsidRPr="005C179D">
        <w:rPr>
          <w:color w:val="auto"/>
        </w:rPr>
        <w:t>о</w:t>
      </w:r>
      <w:r w:rsidRPr="005C179D">
        <w:rPr>
          <w:color w:val="auto"/>
        </w:rPr>
        <w:t>коления в химиотерапии инфекционных заболеваний привело к широкому распространению рез</w:t>
      </w:r>
      <w:r w:rsidRPr="005C179D">
        <w:rPr>
          <w:color w:val="auto"/>
        </w:rPr>
        <w:t>и</w:t>
      </w:r>
      <w:r w:rsidRPr="005C179D">
        <w:rPr>
          <w:color w:val="auto"/>
        </w:rPr>
        <w:t>стентных к их действию микроорганизмов - продуцентов бета-лактамаз (плазмидных и хромосо</w:t>
      </w:r>
      <w:r w:rsidRPr="005C179D">
        <w:rPr>
          <w:color w:val="auto"/>
        </w:rPr>
        <w:t>м</w:t>
      </w:r>
      <w:r w:rsidRPr="005C179D">
        <w:rPr>
          <w:color w:val="auto"/>
        </w:rPr>
        <w:t>ных), что повлекло за собой снижение эффективности антибиотикотерапии. На этом фоне и были созданы, а затем внедрены в клиническую практику цефалоспорины 4-го покол</w:t>
      </w:r>
      <w:r w:rsidRPr="005C179D">
        <w:rPr>
          <w:color w:val="auto"/>
        </w:rPr>
        <w:t>е</w:t>
      </w:r>
      <w:r w:rsidRPr="005C179D">
        <w:rPr>
          <w:color w:val="auto"/>
        </w:rPr>
        <w:t>ния. Помимо ц</w:t>
      </w:r>
      <w:r w:rsidRPr="005C179D">
        <w:rPr>
          <w:color w:val="auto"/>
        </w:rPr>
        <w:t>е</w:t>
      </w:r>
      <w:r w:rsidRPr="005C179D">
        <w:rPr>
          <w:color w:val="auto"/>
        </w:rPr>
        <w:t>фепима, в эту группу входят более 10 лекарственных препаратов, находящихся на разных стадиях изучения и внедрения, - цефпиром, цефклидин, цефквином, цефозоран и др.</w:t>
      </w:r>
    </w:p>
    <w:p w14:paraId="62F8AC1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 связи с плохим всасыванием в желудочно-кишечном тракте цефалоспорины 4-го пок</w:t>
      </w:r>
      <w:r w:rsidRPr="005C179D">
        <w:rPr>
          <w:color w:val="auto"/>
        </w:rPr>
        <w:t>о</w:t>
      </w:r>
      <w:r w:rsidRPr="005C179D">
        <w:rPr>
          <w:color w:val="auto"/>
        </w:rPr>
        <w:t>ления применяют только парентерально. Их фармакокинетические свойства характеризуются, как отличные: биодоступность после внутримышечного введения составляет 90%, антибиотики удерживаются в терапевтических концентрациях в сыворотке крови в течение 12 ч, что позв</w:t>
      </w:r>
      <w:r w:rsidRPr="005C179D">
        <w:rPr>
          <w:color w:val="auto"/>
        </w:rPr>
        <w:t>о</w:t>
      </w:r>
      <w:r w:rsidRPr="005C179D">
        <w:rPr>
          <w:color w:val="auto"/>
        </w:rPr>
        <w:t>ляет вв</w:t>
      </w:r>
      <w:r w:rsidRPr="005C179D">
        <w:rPr>
          <w:color w:val="auto"/>
        </w:rPr>
        <w:t>о</w:t>
      </w:r>
      <w:r w:rsidRPr="005C179D">
        <w:rPr>
          <w:color w:val="auto"/>
        </w:rPr>
        <w:t>дить их 2 раза в сутки.</w:t>
      </w:r>
    </w:p>
    <w:p w14:paraId="78F000F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Антибактериальная активность цефалоспоринов 4-го поколения наиболее полно изучена на примере цефепима. Так, в частности, препарат обладает высокой активностью против Streptococcus spp. Минимальная ингибирующая концентрация (МИК) цефепима в отношении S.pneumoniae составляет 0,05 мг/л, т.е. сопоставима с антипневмококковой активностью цеф</w:t>
      </w:r>
      <w:r w:rsidRPr="005C179D">
        <w:rPr>
          <w:color w:val="auto"/>
        </w:rPr>
        <w:t>о</w:t>
      </w:r>
      <w:r w:rsidRPr="005C179D">
        <w:rPr>
          <w:color w:val="auto"/>
        </w:rPr>
        <w:t>таксима и превосходит таковую цефтазидима. Цефепим в сравнении с цефтазидимом более а</w:t>
      </w:r>
      <w:r w:rsidRPr="005C179D">
        <w:rPr>
          <w:color w:val="auto"/>
        </w:rPr>
        <w:t>к</w:t>
      </w:r>
      <w:r w:rsidRPr="005C179D">
        <w:rPr>
          <w:color w:val="auto"/>
        </w:rPr>
        <w:t>тивен и в отношении пиогенного стрептококка.</w:t>
      </w:r>
    </w:p>
    <w:p w14:paraId="2A611C08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Метициллинчувствительные штаммы S.aureus высокочувствительны к действию цеф</w:t>
      </w:r>
      <w:r w:rsidRPr="005C179D">
        <w:rPr>
          <w:color w:val="auto"/>
        </w:rPr>
        <w:t>е</w:t>
      </w:r>
      <w:r w:rsidRPr="005C179D">
        <w:rPr>
          <w:color w:val="auto"/>
        </w:rPr>
        <w:t>пима (МИК</w:t>
      </w:r>
    </w:p>
    <w:p w14:paraId="6A7D29C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2-4 мг/л). В то же время метициллинрезистентные изоляты золотистого стафилококка (MRSA) устойчивы к действию всех цефалоспоринов, и цефалоспорины 4-го поколения не я</w:t>
      </w:r>
      <w:r w:rsidRPr="005C179D">
        <w:rPr>
          <w:color w:val="auto"/>
        </w:rPr>
        <w:t>в</w:t>
      </w:r>
      <w:r w:rsidRPr="005C179D">
        <w:rPr>
          <w:color w:val="auto"/>
        </w:rPr>
        <w:t>ляются исключением (МИК 16-128 мг/л).</w:t>
      </w:r>
    </w:p>
    <w:p w14:paraId="5EB7E2EC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4-го поколения высокоактивны в отношении широкого круга предст</w:t>
      </w:r>
      <w:r w:rsidRPr="005C179D">
        <w:rPr>
          <w:color w:val="auto"/>
        </w:rPr>
        <w:t>а</w:t>
      </w:r>
      <w:r w:rsidRPr="005C179D">
        <w:rPr>
          <w:color w:val="auto"/>
        </w:rPr>
        <w:t>вителей семейства Enterobacteriaceae (E.coli, K.pneumoniae, K.oxytoca, Shigella spp., Proteus spp., Morganella morganii, Salmonella spp., Providencia stuartii). Так, при изучении большого числа клинических изолятов K.pneumoniae, выделенных в Европе, установлено, что активность цеф</w:t>
      </w:r>
      <w:r w:rsidRPr="005C179D">
        <w:rPr>
          <w:color w:val="auto"/>
        </w:rPr>
        <w:t>е</w:t>
      </w:r>
      <w:r w:rsidRPr="005C179D">
        <w:rPr>
          <w:color w:val="auto"/>
        </w:rPr>
        <w:t>пима (МИК 2 мг/л) существенно превосходит таковую цефалоспоринов 3-го поколения (МИК цефтаз</w:t>
      </w:r>
      <w:r w:rsidRPr="005C179D">
        <w:rPr>
          <w:color w:val="auto"/>
        </w:rPr>
        <w:t>и</w:t>
      </w:r>
      <w:r w:rsidRPr="005C179D">
        <w:rPr>
          <w:color w:val="auto"/>
        </w:rPr>
        <w:t>дима &gt;64 мг/л, цефотаксима &gt;32 мг/л). Резистентные к действию цефалоспоринов 3-го поколения Enterobacter aerogenes и Enterobacter cloacae высокочувствительны к цефепиму. С учетом того факта, что последние активно продуцируют хромосомную цефалоспориназу, в</w:t>
      </w:r>
      <w:r w:rsidRPr="005C179D">
        <w:rPr>
          <w:color w:val="auto"/>
        </w:rPr>
        <w:t>ы</w:t>
      </w:r>
      <w:r w:rsidRPr="005C179D">
        <w:rPr>
          <w:color w:val="auto"/>
        </w:rPr>
        <w:t>сказывается предположение о меньшей подверженности ее действию цефалоспоринов 4-го п</w:t>
      </w:r>
      <w:r w:rsidRPr="005C179D">
        <w:rPr>
          <w:color w:val="auto"/>
        </w:rPr>
        <w:t>о</w:t>
      </w:r>
      <w:r w:rsidRPr="005C179D">
        <w:rPr>
          <w:color w:val="auto"/>
        </w:rPr>
        <w:t>коления. Интересно отметить, что даже при имипенемзависимой продукции бета-лактамаз МИК цефепима в отнош</w:t>
      </w:r>
      <w:r w:rsidRPr="005C179D">
        <w:rPr>
          <w:color w:val="auto"/>
        </w:rPr>
        <w:t>е</w:t>
      </w:r>
      <w:r w:rsidRPr="005C179D">
        <w:rPr>
          <w:color w:val="auto"/>
        </w:rPr>
        <w:t>нии "Е.cloacae (а следовательно, и чувствительность микроорганизма к антибиотику) остается н</w:t>
      </w:r>
      <w:r w:rsidRPr="005C179D">
        <w:rPr>
          <w:color w:val="auto"/>
        </w:rPr>
        <w:t>е</w:t>
      </w:r>
      <w:r w:rsidRPr="005C179D">
        <w:rPr>
          <w:color w:val="auto"/>
        </w:rPr>
        <w:t>изменной, тогда как МИК цефтазидима и цефотаксима возрастает в 3 раза и более.</w:t>
      </w:r>
    </w:p>
    <w:p w14:paraId="4F8963B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Цефепим проявляет высокую активность и в отношении ряда редко выделяемых пре</w:t>
      </w:r>
      <w:r w:rsidRPr="005C179D">
        <w:rPr>
          <w:color w:val="auto"/>
        </w:rPr>
        <w:t>д</w:t>
      </w:r>
      <w:r w:rsidRPr="005C179D">
        <w:rPr>
          <w:color w:val="auto"/>
        </w:rPr>
        <w:t>ставителей семейства Enterobacteriaceae (Yersinia enterocolitiса, Providencia alcalifaciens, Citrobacter diversus и др.).</w:t>
      </w:r>
    </w:p>
    <w:p w14:paraId="64C2E6C7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Цефалоспорины 4-го поколения характеризуются как весьма активные и в отношении других грамотрицательных палочек и кокков. Активность цефепима против P.aeruginosa, Acinetobacter calcoaceticus, Xanthomonas maltophila сопоставима с таковой цефтазидима.</w:t>
      </w:r>
    </w:p>
    <w:p w14:paraId="241C39D6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Чрезвычайно высок бактерицидный потенциал этих антибиотиков и в отношении H.influenzae: диапазон МИК от 0,06 до 0,25 мг/л, что близко к эффекту цефтазидима и цефота</w:t>
      </w:r>
      <w:r w:rsidRPr="005C179D">
        <w:rPr>
          <w:color w:val="auto"/>
        </w:rPr>
        <w:t>к</w:t>
      </w:r>
      <w:r w:rsidRPr="005C179D">
        <w:rPr>
          <w:color w:val="auto"/>
        </w:rPr>
        <w:t>сима и в 4 раза превосходит активность имипенема. Весьма важным представляется то обсто</w:t>
      </w:r>
      <w:r w:rsidRPr="005C179D">
        <w:rPr>
          <w:color w:val="auto"/>
        </w:rPr>
        <w:t>я</w:t>
      </w:r>
      <w:r w:rsidRPr="005C179D">
        <w:rPr>
          <w:color w:val="auto"/>
        </w:rPr>
        <w:t>тельство, что активность цефепима против гемофильной палочки не зависит от способности микроорг</w:t>
      </w:r>
      <w:r w:rsidRPr="005C179D">
        <w:rPr>
          <w:color w:val="auto"/>
        </w:rPr>
        <w:t>а</w:t>
      </w:r>
      <w:r w:rsidRPr="005C179D">
        <w:rPr>
          <w:color w:val="auto"/>
        </w:rPr>
        <w:t>низма продуцировать бета-лактамазы: МИК для бета-лактамазопродуцирующих штаммов 0,12 мг/л, для бета-лактамазонегативных 0,25 мг/л. Очевидно, как следствие этого ц</w:t>
      </w:r>
      <w:r w:rsidRPr="005C179D">
        <w:rPr>
          <w:color w:val="auto"/>
        </w:rPr>
        <w:t>е</w:t>
      </w:r>
      <w:r w:rsidRPr="005C179D">
        <w:rPr>
          <w:color w:val="auto"/>
        </w:rPr>
        <w:t>фепим проявляет высокую активность в отношении ампициллинрезистентных штаммов H.influenzae.</w:t>
      </w:r>
    </w:p>
    <w:p w14:paraId="69E37C8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Антибиотики 4-го поколения весьма активны против N.meningitidis (МИК 0,008 мг/л), N.gonorrhoeae (МИК 0,02 мг/л), а также нередко выделяемой у больных с нейтропенией Aeromonas hydrophila.</w:t>
      </w:r>
    </w:p>
    <w:p w14:paraId="572DA40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Если же говорить о "слабых местах" антибактериальной активности данного поколения цефалоспоринов, то это Enterococcus faecalis, Listeria monocytogenes, Bacteroides fragilis, Clostridium difficile.</w:t>
      </w:r>
    </w:p>
    <w:p w14:paraId="0CF9AD75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b/>
          <w:bCs/>
          <w:color w:val="auto"/>
        </w:rPr>
        <w:t>Клиническое применение цефалоспоринов 4-го поколения.</w:t>
      </w:r>
      <w:r w:rsidRPr="005C179D">
        <w:rPr>
          <w:color w:val="auto"/>
        </w:rPr>
        <w:t xml:space="preserve"> Несмотря на то что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лоспорины 4-го поколения недавно начали применять в клинической практике, уже накоплен знач</w:t>
      </w:r>
      <w:r w:rsidRPr="005C179D">
        <w:rPr>
          <w:color w:val="auto"/>
        </w:rPr>
        <w:t>и</w:t>
      </w:r>
      <w:r w:rsidRPr="005C179D">
        <w:rPr>
          <w:color w:val="auto"/>
        </w:rPr>
        <w:t>тельный опыт их использования при лечении различных инфекционных заболеваний. В больши</w:t>
      </w:r>
      <w:r w:rsidRPr="005C179D">
        <w:rPr>
          <w:color w:val="auto"/>
        </w:rPr>
        <w:t>н</w:t>
      </w:r>
      <w:r w:rsidRPr="005C179D">
        <w:rPr>
          <w:color w:val="auto"/>
        </w:rPr>
        <w:t>стве исследований по изучению клинической эффективности и безопасности данной группы ант</w:t>
      </w:r>
      <w:r w:rsidRPr="005C179D">
        <w:rPr>
          <w:color w:val="auto"/>
        </w:rPr>
        <w:t>и</w:t>
      </w:r>
      <w:r w:rsidRPr="005C179D">
        <w:rPr>
          <w:color w:val="auto"/>
        </w:rPr>
        <w:t>биотиков (в частности, цефепима) препаратом сравнения являлся цефтазидим. Как правило, испытания проводили на контингентах госпитализированных пациентов с инфекцио</w:t>
      </w:r>
      <w:r w:rsidRPr="005C179D">
        <w:rPr>
          <w:color w:val="auto"/>
        </w:rPr>
        <w:t>н</w:t>
      </w:r>
      <w:r w:rsidRPr="005C179D">
        <w:rPr>
          <w:color w:val="auto"/>
        </w:rPr>
        <w:t>ными заболев</w:t>
      </w:r>
      <w:r w:rsidRPr="005C179D">
        <w:rPr>
          <w:color w:val="auto"/>
        </w:rPr>
        <w:t>а</w:t>
      </w:r>
      <w:r w:rsidRPr="005C179D">
        <w:rPr>
          <w:color w:val="auto"/>
        </w:rPr>
        <w:t>ниями, течение которых расценено как средней тяжести и тяжелое, оказавшихся резистентными к проводимому на догоспитальном этапе лечению антибактериальными преп</w:t>
      </w:r>
      <w:r w:rsidRPr="005C179D">
        <w:rPr>
          <w:color w:val="auto"/>
        </w:rPr>
        <w:t>а</w:t>
      </w:r>
      <w:r w:rsidRPr="005C179D">
        <w:rPr>
          <w:color w:val="auto"/>
        </w:rPr>
        <w:t>ратами различных групп.</w:t>
      </w:r>
    </w:p>
    <w:p w14:paraId="618014FA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Цефепим и цефтазидим оказались сопоставимыми по выраженности терапевтической и бактериологической эффективности при лечении инфекций нижних дыхательных путей. Да</w:t>
      </w:r>
      <w:r w:rsidRPr="005C179D">
        <w:rPr>
          <w:color w:val="auto"/>
        </w:rPr>
        <w:t>н</w:t>
      </w:r>
      <w:r w:rsidRPr="005C179D">
        <w:rPr>
          <w:color w:val="auto"/>
        </w:rPr>
        <w:t>ные выводы оказались отчасти неожиданными, поскольку, согласно результатам оценки ант</w:t>
      </w:r>
      <w:r w:rsidRPr="005C179D">
        <w:rPr>
          <w:color w:val="auto"/>
        </w:rPr>
        <w:t>и</w:t>
      </w:r>
      <w:r w:rsidRPr="005C179D">
        <w:rPr>
          <w:color w:val="auto"/>
        </w:rPr>
        <w:t>бактериальной активности in vitro, предполагалась более высокая чувствительность микроорг</w:t>
      </w:r>
      <w:r w:rsidRPr="005C179D">
        <w:rPr>
          <w:color w:val="auto"/>
        </w:rPr>
        <w:t>а</w:t>
      </w:r>
      <w:r w:rsidRPr="005C179D">
        <w:rPr>
          <w:color w:val="auto"/>
        </w:rPr>
        <w:t>низмов, резистентных к цефалоспоринам 3-го поколения, к действию препаратов 4-го покол</w:t>
      </w:r>
      <w:r w:rsidRPr="005C179D">
        <w:rPr>
          <w:color w:val="auto"/>
        </w:rPr>
        <w:t>е</w:t>
      </w:r>
      <w:r w:rsidRPr="005C179D">
        <w:rPr>
          <w:color w:val="auto"/>
        </w:rPr>
        <w:t>ния. Кроме того, не удалось продемонстрировать более высокую антипсевдомонадную акти</w:t>
      </w:r>
      <w:r w:rsidRPr="005C179D">
        <w:rPr>
          <w:color w:val="auto"/>
        </w:rPr>
        <w:t>в</w:t>
      </w:r>
      <w:r w:rsidRPr="005C179D">
        <w:rPr>
          <w:color w:val="auto"/>
        </w:rPr>
        <w:t>ность цефепима в сравнении с цефалоспоринами 3-го поколения.</w:t>
      </w:r>
    </w:p>
    <w:p w14:paraId="09B1B2DC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При применении цефепима в регионах, где распространены микроорганизмы, констит</w:t>
      </w:r>
      <w:r w:rsidRPr="005C179D">
        <w:rPr>
          <w:color w:val="auto"/>
        </w:rPr>
        <w:t>у</w:t>
      </w:r>
      <w:r w:rsidRPr="005C179D">
        <w:rPr>
          <w:color w:val="auto"/>
        </w:rPr>
        <w:t>тивно резистентные к действию цефалоспоринов 2-3-го поколений, эффективность препарата оказалась сравнимой с таковой карбапенемов.</w:t>
      </w:r>
    </w:p>
    <w:p w14:paraId="012754F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Близкие результаты получены и при лечении цефепимом больных с инфекциями моч</w:t>
      </w:r>
      <w:r w:rsidRPr="005C179D">
        <w:rPr>
          <w:color w:val="auto"/>
        </w:rPr>
        <w:t>е</w:t>
      </w:r>
      <w:r w:rsidRPr="005C179D">
        <w:rPr>
          <w:color w:val="auto"/>
        </w:rPr>
        <w:t>выводящих путей, кожи, костно-суставного аппарата, органов малого таза и брюшной полости. В то время как результаты несравнительных клинических испытаний подтверждали высокую эффективность цефепима, в сравнительных исследованиях не обнаружено существенных пр</w:t>
      </w:r>
      <w:r w:rsidRPr="005C179D">
        <w:rPr>
          <w:color w:val="auto"/>
        </w:rPr>
        <w:t>е</w:t>
      </w:r>
      <w:r w:rsidRPr="005C179D">
        <w:rPr>
          <w:color w:val="auto"/>
        </w:rPr>
        <w:t>имуществ препарата при сопоставлении его с цефалоспоринами других поколений.</w:t>
      </w:r>
    </w:p>
    <w:p w14:paraId="5CF2BC80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Впрочем, несмотря на то, что с клинических позиций эффективность цефепима оказ</w:t>
      </w:r>
      <w:r w:rsidRPr="005C179D">
        <w:rPr>
          <w:color w:val="auto"/>
        </w:rPr>
        <w:t>а</w:t>
      </w:r>
      <w:r w:rsidRPr="005C179D">
        <w:rPr>
          <w:color w:val="auto"/>
        </w:rPr>
        <w:t>лась сравнимой с таковой цефтазидима, результаты фармакоэкономических исследований св</w:t>
      </w:r>
      <w:r w:rsidRPr="005C179D">
        <w:rPr>
          <w:color w:val="auto"/>
        </w:rPr>
        <w:t>и</w:t>
      </w:r>
      <w:r w:rsidRPr="005C179D">
        <w:rPr>
          <w:color w:val="auto"/>
        </w:rPr>
        <w:t>детельствовали об определенных преимуществах первого антибиотика. Учитывая то обсто</w:t>
      </w:r>
      <w:r w:rsidRPr="005C179D">
        <w:rPr>
          <w:color w:val="auto"/>
        </w:rPr>
        <w:t>я</w:t>
      </w:r>
      <w:r w:rsidRPr="005C179D">
        <w:rPr>
          <w:color w:val="auto"/>
        </w:rPr>
        <w:t xml:space="preserve">тельство, что стоимость </w:t>
      </w:r>
      <w:smartTag w:uri="urn:schemas-microsoft-com:office:smarttags" w:element="metricconverter">
        <w:smartTagPr>
          <w:attr w:name="ProductID" w:val="1 г"/>
        </w:smartTagPr>
        <w:r w:rsidRPr="005C179D">
          <w:rPr>
            <w:color w:val="auto"/>
          </w:rPr>
          <w:t>1 г</w:t>
        </w:r>
      </w:smartTag>
      <w:r w:rsidRPr="005C179D">
        <w:rPr>
          <w:color w:val="auto"/>
        </w:rPr>
        <w:t xml:space="preserve"> каждого из антибиотиков примерно одинакова, но кратность введ</w:t>
      </w:r>
      <w:r w:rsidRPr="005C179D">
        <w:rPr>
          <w:color w:val="auto"/>
        </w:rPr>
        <w:t>е</w:t>
      </w:r>
      <w:r w:rsidRPr="005C179D">
        <w:rPr>
          <w:color w:val="auto"/>
        </w:rPr>
        <w:t>ния цефепима (2 раза в сутки) меньше таковой цефтазидима (3 раза в сутки), предпочтение о</w:t>
      </w:r>
      <w:r w:rsidRPr="005C179D">
        <w:rPr>
          <w:color w:val="auto"/>
        </w:rPr>
        <w:t>т</w:t>
      </w:r>
      <w:r w:rsidRPr="005C179D">
        <w:rPr>
          <w:color w:val="auto"/>
        </w:rPr>
        <w:t>дают цефалоспорину 4-го поколения.</w:t>
      </w:r>
    </w:p>
    <w:p w14:paraId="67366C9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При эмпирическом назначении антибиотиков лихорадящим больным с нейтропенией цефепим продемонстрировал высокую эффективность независимо от дополнительного назн</w:t>
      </w:r>
      <w:r w:rsidRPr="005C179D">
        <w:rPr>
          <w:color w:val="auto"/>
        </w:rPr>
        <w:t>а</w:t>
      </w:r>
      <w:r w:rsidRPr="005C179D">
        <w:rPr>
          <w:color w:val="auto"/>
        </w:rPr>
        <w:t>чения гликопептидов (ванкомицина). Однако и в данной клинической ситуации не удалось по</w:t>
      </w:r>
      <w:r w:rsidRPr="005C179D">
        <w:rPr>
          <w:color w:val="auto"/>
        </w:rPr>
        <w:t>д</w:t>
      </w:r>
      <w:r w:rsidRPr="005C179D">
        <w:rPr>
          <w:color w:val="auto"/>
        </w:rPr>
        <w:t>твердить существенных преимуществ цефалоспорина 4-го поколения по сравнению с цефтаз</w:t>
      </w:r>
      <w:r w:rsidRPr="005C179D">
        <w:rPr>
          <w:color w:val="auto"/>
        </w:rPr>
        <w:t>и</w:t>
      </w:r>
      <w:r w:rsidRPr="005C179D">
        <w:rPr>
          <w:color w:val="auto"/>
        </w:rPr>
        <w:t>димом или комбинацией "пиперациллин + гентамицин". Не обнаружено также значимых разл</w:t>
      </w:r>
      <w:r w:rsidRPr="005C179D">
        <w:rPr>
          <w:color w:val="auto"/>
        </w:rPr>
        <w:t>и</w:t>
      </w:r>
      <w:r w:rsidRPr="005C179D">
        <w:rPr>
          <w:color w:val="auto"/>
        </w:rPr>
        <w:t>чий в выраженности терапевтической и бактериологической активности цефепима и цефтаз</w:t>
      </w:r>
      <w:r w:rsidRPr="005C179D">
        <w:rPr>
          <w:color w:val="auto"/>
        </w:rPr>
        <w:t>и</w:t>
      </w:r>
      <w:r w:rsidRPr="005C179D">
        <w:rPr>
          <w:color w:val="auto"/>
        </w:rPr>
        <w:t>дима у больных с ба</w:t>
      </w:r>
      <w:r w:rsidRPr="005C179D">
        <w:rPr>
          <w:color w:val="auto"/>
        </w:rPr>
        <w:t>к</w:t>
      </w:r>
      <w:r w:rsidRPr="005C179D">
        <w:rPr>
          <w:color w:val="auto"/>
        </w:rPr>
        <w:t>териемией.</w:t>
      </w:r>
    </w:p>
    <w:p w14:paraId="2DF1C0D7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Таким образом, исследователи сталкиваются с определенными различиями в оценке а</w:t>
      </w:r>
      <w:r w:rsidRPr="005C179D">
        <w:rPr>
          <w:color w:val="auto"/>
        </w:rPr>
        <w:t>к</w:t>
      </w:r>
      <w:r w:rsidRPr="005C179D">
        <w:rPr>
          <w:color w:val="auto"/>
        </w:rPr>
        <w:t>тивности цефалоспоринов 4-го поколения in vitro и in vivo. Проявляя высокую микробиолог</w:t>
      </w:r>
      <w:r w:rsidRPr="005C179D">
        <w:rPr>
          <w:color w:val="auto"/>
        </w:rPr>
        <w:t>и</w:t>
      </w:r>
      <w:r w:rsidRPr="005C179D">
        <w:rPr>
          <w:color w:val="auto"/>
        </w:rPr>
        <w:t>ческую эффективность in vitro в отношении широкого спектра грамположительных и грамотр</w:t>
      </w:r>
      <w:r w:rsidRPr="005C179D">
        <w:rPr>
          <w:color w:val="auto"/>
        </w:rPr>
        <w:t>и</w:t>
      </w:r>
      <w:r w:rsidRPr="005C179D">
        <w:rPr>
          <w:color w:val="auto"/>
        </w:rPr>
        <w:t>цательных микроорганизмов и характеризуясь устойчивостью к деградирующему действию наиболее распр</w:t>
      </w:r>
      <w:r w:rsidRPr="005C179D">
        <w:rPr>
          <w:color w:val="auto"/>
        </w:rPr>
        <w:t>о</w:t>
      </w:r>
      <w:r w:rsidRPr="005C179D">
        <w:rPr>
          <w:color w:val="auto"/>
        </w:rPr>
        <w:t>страненных хромосомных и плазмидных бета-лактамаз, цефалоспорины 4-го поколения пока не смогли продемонстрировать существенных преимуществ в сравнении с це</w:t>
      </w:r>
      <w:r w:rsidRPr="005C179D">
        <w:rPr>
          <w:color w:val="auto"/>
        </w:rPr>
        <w:t>ф</w:t>
      </w:r>
      <w:r w:rsidRPr="005C179D">
        <w:rPr>
          <w:color w:val="auto"/>
        </w:rPr>
        <w:t>тазидимом и другими цефалоспоринами 3-го поколения при применении в клинической пра</w:t>
      </w:r>
      <w:r w:rsidRPr="005C179D">
        <w:rPr>
          <w:color w:val="auto"/>
        </w:rPr>
        <w:t>к</w:t>
      </w:r>
      <w:r w:rsidRPr="005C179D">
        <w:rPr>
          <w:color w:val="auto"/>
        </w:rPr>
        <w:t>тике. Очевидно, что проводимые и планируемые в ближайшем будущем масштабные мног</w:t>
      </w:r>
      <w:r w:rsidRPr="005C179D">
        <w:rPr>
          <w:color w:val="auto"/>
        </w:rPr>
        <w:t>о</w:t>
      </w:r>
      <w:r w:rsidRPr="005C179D">
        <w:rPr>
          <w:color w:val="auto"/>
        </w:rPr>
        <w:t>центровые сравнительные испытания позволят уточнить роль и место цефалоспоринов 4-го п</w:t>
      </w:r>
      <w:r w:rsidRPr="005C179D">
        <w:rPr>
          <w:color w:val="auto"/>
        </w:rPr>
        <w:t>о</w:t>
      </w:r>
      <w:r w:rsidRPr="005C179D">
        <w:rPr>
          <w:color w:val="auto"/>
        </w:rPr>
        <w:t>коления в химиотерапии инфекц</w:t>
      </w:r>
      <w:r w:rsidRPr="005C179D">
        <w:rPr>
          <w:color w:val="auto"/>
        </w:rPr>
        <w:t>и</w:t>
      </w:r>
      <w:r w:rsidRPr="005C179D">
        <w:rPr>
          <w:color w:val="auto"/>
        </w:rPr>
        <w:t xml:space="preserve">онных заболеваний. </w:t>
      </w:r>
    </w:p>
    <w:p w14:paraId="2E7FD0F9" w14:textId="77777777" w:rsidR="00353761" w:rsidRPr="005C179D" w:rsidRDefault="00353761" w:rsidP="005C179D">
      <w:pPr>
        <w:pStyle w:val="1"/>
        <w:spacing w:before="0" w:beforeAutospacing="0" w:after="0" w:afterAutospacing="0"/>
        <w:ind w:firstLine="709"/>
        <w:jc w:val="both"/>
        <w:rPr>
          <w:color w:val="auto"/>
          <w:sz w:val="24"/>
          <w:szCs w:val="24"/>
        </w:rPr>
      </w:pPr>
      <w:r w:rsidRPr="005C179D">
        <w:rPr>
          <w:color w:val="auto"/>
          <w:sz w:val="24"/>
          <w:szCs w:val="24"/>
        </w:rPr>
        <w:t>Побочные эффекты цефалоспоринов</w:t>
      </w:r>
    </w:p>
    <w:p w14:paraId="7880A444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Побочные эффекты цефалоспоринов во многом схожи с таковыми других бета-лактамных антибиотиков.</w:t>
      </w:r>
    </w:p>
    <w:p w14:paraId="7A2AAD4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Прежде всего это реакции гиперчувствительности - высыпания на коже, бронхоспазм, тра</w:t>
      </w:r>
      <w:r w:rsidRPr="005C179D">
        <w:rPr>
          <w:color w:val="auto"/>
        </w:rPr>
        <w:t>н</w:t>
      </w:r>
      <w:r w:rsidRPr="005C179D">
        <w:rPr>
          <w:color w:val="auto"/>
        </w:rPr>
        <w:t>зиторная эозинофилия периферической крови и, крайне редко, анафилактический шок. Примеч</w:t>
      </w:r>
      <w:r w:rsidRPr="005C179D">
        <w:rPr>
          <w:color w:val="auto"/>
        </w:rPr>
        <w:t>а</w:t>
      </w:r>
      <w:r w:rsidRPr="005C179D">
        <w:rPr>
          <w:color w:val="auto"/>
        </w:rPr>
        <w:t>тельно, что частота развития аллергических реакций на фоне приема пенициллинов выше, чем при назначении цефалоспоринов. Несмотря на близость химической структуры п</w:t>
      </w:r>
      <w:r w:rsidRPr="005C179D">
        <w:rPr>
          <w:color w:val="auto"/>
        </w:rPr>
        <w:t>е</w:t>
      </w:r>
      <w:r w:rsidRPr="005C179D">
        <w:rPr>
          <w:color w:val="auto"/>
        </w:rPr>
        <w:t>нициллинов и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лоспоринов, перекрестные аллергические реакции между антибиотиками этих групп, встречаются нечасто. Так, по данным ряда исследователей, развитие перекрестных реакций при лечении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лоспоринами наблюдается у 5-10% больных, у которых возникают аллергические реакции на введение пенициллинов. Тем не менее рекомендуется соблюдать о</w:t>
      </w:r>
      <w:r w:rsidRPr="005C179D">
        <w:rPr>
          <w:color w:val="auto"/>
        </w:rPr>
        <w:t>с</w:t>
      </w:r>
      <w:r w:rsidRPr="005C179D">
        <w:rPr>
          <w:color w:val="auto"/>
        </w:rPr>
        <w:t>торожность при назначении цеф</w:t>
      </w:r>
      <w:r w:rsidRPr="005C179D">
        <w:rPr>
          <w:color w:val="auto"/>
        </w:rPr>
        <w:t>а</w:t>
      </w:r>
      <w:r w:rsidRPr="005C179D">
        <w:rPr>
          <w:color w:val="auto"/>
        </w:rPr>
        <w:t>лоспоринов больным, у которых в анамнезе есть указания на развитие реакции гиперчувствител</w:t>
      </w:r>
      <w:r w:rsidRPr="005C179D">
        <w:rPr>
          <w:color w:val="auto"/>
        </w:rPr>
        <w:t>ь</w:t>
      </w:r>
      <w:r w:rsidRPr="005C179D">
        <w:rPr>
          <w:color w:val="auto"/>
        </w:rPr>
        <w:t>ности немедленного типа к пенициллинам.</w:t>
      </w:r>
    </w:p>
    <w:p w14:paraId="524752B1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При внутривенном введении больших доз цефалоспоринов, особенно при повторных инъекциях, могут наблюдаться преходящая гипертермия, приступообразный кашель, миалгии.</w:t>
      </w:r>
    </w:p>
    <w:p w14:paraId="153C238D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Нефротоксичность относится к нечасто возникающим побочным эффектам цефалосп</w:t>
      </w:r>
      <w:r w:rsidRPr="005C179D">
        <w:rPr>
          <w:color w:val="auto"/>
        </w:rPr>
        <w:t>о</w:t>
      </w:r>
      <w:r w:rsidRPr="005C179D">
        <w:rPr>
          <w:color w:val="auto"/>
        </w:rPr>
        <w:t>ринов и, как правило, связана с реакцией гиперчувствительности. Лишь при введении больших доз ант</w:t>
      </w:r>
      <w:r w:rsidRPr="005C179D">
        <w:rPr>
          <w:color w:val="auto"/>
        </w:rPr>
        <w:t>и</w:t>
      </w:r>
      <w:r w:rsidRPr="005C179D">
        <w:rPr>
          <w:color w:val="auto"/>
        </w:rPr>
        <w:t>биотиков возможно прямое нефротоксическое действие.</w:t>
      </w:r>
    </w:p>
    <w:p w14:paraId="3F2C8422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 ряде случаев прием цефалоспоринов сопровождается минимально или умеренно в</w:t>
      </w:r>
      <w:r w:rsidRPr="005C179D">
        <w:rPr>
          <w:color w:val="auto"/>
        </w:rPr>
        <w:t>ы</w:t>
      </w:r>
      <w:r w:rsidRPr="005C179D">
        <w:rPr>
          <w:color w:val="auto"/>
        </w:rPr>
        <w:t>раженными признаками гепатотоксичности - транзиторным повышением активности ам</w:t>
      </w:r>
      <w:r w:rsidRPr="005C179D">
        <w:rPr>
          <w:color w:val="auto"/>
        </w:rPr>
        <w:t>и</w:t>
      </w:r>
      <w:r w:rsidRPr="005C179D">
        <w:rPr>
          <w:color w:val="auto"/>
        </w:rPr>
        <w:t>нотрансфераз и щелочной фосфатазы.</w:t>
      </w:r>
    </w:p>
    <w:p w14:paraId="29D5D0C3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В современной литературе приводятся сообщения о нарушениях кроветворения при вв</w:t>
      </w:r>
      <w:r w:rsidRPr="005C179D">
        <w:rPr>
          <w:color w:val="auto"/>
        </w:rPr>
        <w:t>е</w:t>
      </w:r>
      <w:r w:rsidRPr="005C179D">
        <w:rPr>
          <w:color w:val="auto"/>
        </w:rPr>
        <w:t>дении "новейших" цефалоспоринов; отдельные случаи кровоточивости связывают с подавлен</w:t>
      </w:r>
      <w:r w:rsidRPr="005C179D">
        <w:rPr>
          <w:color w:val="auto"/>
        </w:rPr>
        <w:t>и</w:t>
      </w:r>
      <w:r w:rsidRPr="005C179D">
        <w:rPr>
          <w:color w:val="auto"/>
        </w:rPr>
        <w:t>ем цефалоспоринами роста микрофлоры, ответственной за выработку витамина К. К числу "г</w:t>
      </w:r>
      <w:r w:rsidRPr="005C179D">
        <w:rPr>
          <w:color w:val="auto"/>
        </w:rPr>
        <w:t>е</w:t>
      </w:r>
      <w:r w:rsidRPr="005C179D">
        <w:rPr>
          <w:color w:val="auto"/>
        </w:rPr>
        <w:t>матологических" осложнений относят также субклинический гемолиз, манифестирующий п</w:t>
      </w:r>
      <w:r w:rsidRPr="005C179D">
        <w:rPr>
          <w:color w:val="auto"/>
        </w:rPr>
        <w:t>о</w:t>
      </w:r>
      <w:r w:rsidRPr="005C179D">
        <w:rPr>
          <w:color w:val="auto"/>
        </w:rPr>
        <w:t>лож</w:t>
      </w:r>
      <w:r w:rsidRPr="005C179D">
        <w:rPr>
          <w:color w:val="auto"/>
        </w:rPr>
        <w:t>и</w:t>
      </w:r>
      <w:r w:rsidRPr="005C179D">
        <w:rPr>
          <w:color w:val="auto"/>
        </w:rPr>
        <w:t>тельной пробой Кумбса.</w:t>
      </w:r>
    </w:p>
    <w:p w14:paraId="0AB69C77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При приеме таблетированных форм цефалоспоринов возможны желудочно-кишечные расстройства, что объясняется подавлением роста анаэробных кокков, грамотрицательных ан</w:t>
      </w:r>
      <w:r w:rsidRPr="005C179D">
        <w:rPr>
          <w:color w:val="auto"/>
        </w:rPr>
        <w:t>а</w:t>
      </w:r>
      <w:r w:rsidRPr="005C179D">
        <w:rPr>
          <w:color w:val="auto"/>
        </w:rPr>
        <w:t>эробов,энтеробактерий с "заместительным" размножением Clostridium difficile, Candida spp., энт</w:t>
      </w:r>
      <w:r w:rsidRPr="005C179D">
        <w:rPr>
          <w:color w:val="auto"/>
        </w:rPr>
        <w:t>е</w:t>
      </w:r>
      <w:r w:rsidRPr="005C179D">
        <w:rPr>
          <w:color w:val="auto"/>
        </w:rPr>
        <w:t xml:space="preserve">рококков у отдельных больных. </w:t>
      </w:r>
    </w:p>
    <w:p w14:paraId="1A9D299F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auto"/>
          <w:u w:val="single"/>
        </w:rPr>
      </w:pPr>
      <w:r w:rsidRPr="005C179D">
        <w:rPr>
          <w:b/>
          <w:bCs/>
          <w:color w:val="auto"/>
          <w:u w:val="single"/>
        </w:rPr>
        <w:t>Список используемой литературы</w:t>
      </w:r>
    </w:p>
    <w:p w14:paraId="1A526892" w14:textId="77777777" w:rsidR="00353761" w:rsidRPr="005C179D" w:rsidRDefault="00353761" w:rsidP="005C179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5C179D">
        <w:rPr>
          <w:b w:val="0"/>
          <w:bCs w:val="0"/>
          <w:color w:val="auto"/>
          <w:sz w:val="24"/>
          <w:szCs w:val="24"/>
        </w:rPr>
        <w:t>1. А.И.Синопальников, О.В.Фесенко (Каф. терапии Военно-медицинского факультета при Российской медицинской академии последипломного образования, Москва).</w:t>
      </w:r>
    </w:p>
    <w:p w14:paraId="6682582B" w14:textId="77777777" w:rsidR="00353761" w:rsidRPr="005C179D" w:rsidRDefault="00353761" w:rsidP="005C179D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5C179D">
        <w:rPr>
          <w:color w:val="auto"/>
        </w:rPr>
        <w:t>2. ©Журнал "Российские медицинские вести", №3, том II, 1997</w:t>
      </w:r>
    </w:p>
    <w:sectPr w:rsidR="00353761" w:rsidRPr="005C179D" w:rsidSect="005C179D">
      <w:pgSz w:w="11906" w:h="16838" w:code="9"/>
      <w:pgMar w:top="1134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E19"/>
    <w:multiLevelType w:val="hybridMultilevel"/>
    <w:tmpl w:val="95880C3C"/>
    <w:lvl w:ilvl="0" w:tplc="BBA2A6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A5AD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081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32632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C82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0F4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FCC8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300E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28C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5E5C"/>
    <w:multiLevelType w:val="hybridMultilevel"/>
    <w:tmpl w:val="888AA384"/>
    <w:lvl w:ilvl="0" w:tplc="7DC0D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63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83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9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41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5CE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AC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2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C1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B08"/>
    <w:multiLevelType w:val="hybridMultilevel"/>
    <w:tmpl w:val="57303464"/>
    <w:lvl w:ilvl="0" w:tplc="54B8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D81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26D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82D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EA5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8F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902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3CC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E4B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D2C77"/>
    <w:multiLevelType w:val="hybridMultilevel"/>
    <w:tmpl w:val="FEFA47AA"/>
    <w:lvl w:ilvl="0" w:tplc="A9D86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5AC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F6A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7C90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CD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DC2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0E21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D024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A6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63288"/>
    <w:multiLevelType w:val="hybridMultilevel"/>
    <w:tmpl w:val="90C68534"/>
    <w:lvl w:ilvl="0" w:tplc="B19C6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C40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569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BE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0E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C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DEF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C46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4E6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91193"/>
    <w:multiLevelType w:val="hybridMultilevel"/>
    <w:tmpl w:val="F2D69774"/>
    <w:lvl w:ilvl="0" w:tplc="E3327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8B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140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E5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CF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5E5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AA5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1EF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0EB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93517"/>
    <w:multiLevelType w:val="hybridMultilevel"/>
    <w:tmpl w:val="F9AE44E0"/>
    <w:lvl w:ilvl="0" w:tplc="C2C6C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EA1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2CD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668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069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FED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14C4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48E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75310"/>
    <w:multiLevelType w:val="hybridMultilevel"/>
    <w:tmpl w:val="95D2087A"/>
    <w:lvl w:ilvl="0" w:tplc="AF32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A5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A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41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0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E9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D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40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C4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33"/>
    <w:rsid w:val="00065333"/>
    <w:rsid w:val="00353761"/>
    <w:rsid w:val="005C179D"/>
    <w:rsid w:val="00B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A152C4"/>
  <w15:chartTrackingRefBased/>
  <w15:docId w15:val="{B73DADAC-3EB6-446F-80C4-421986A7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b/>
      <w:bCs/>
      <w:color w:val="CC0033"/>
      <w:kern w:val="36"/>
      <w:sz w:val="36"/>
      <w:szCs w:val="36"/>
      <w:u w:val="single"/>
    </w:rPr>
  </w:style>
  <w:style w:type="paragraph" w:styleId="2">
    <w:name w:val="heading 2"/>
    <w:basedOn w:val="a"/>
    <w:qFormat/>
    <w:pPr>
      <w:spacing w:before="100" w:beforeAutospacing="1" w:after="100" w:afterAutospacing="1"/>
      <w:jc w:val="center"/>
      <w:outlineLvl w:val="1"/>
    </w:pPr>
    <w:rPr>
      <w:b/>
      <w:bCs/>
      <w:color w:val="FF0033"/>
      <w:sz w:val="27"/>
      <w:szCs w:val="27"/>
    </w:rPr>
  </w:style>
  <w:style w:type="paragraph" w:styleId="3">
    <w:name w:val="heading 3"/>
    <w:basedOn w:val="a"/>
    <w:next w:val="a"/>
    <w:qFormat/>
    <w:pPr>
      <w:keepNext/>
      <w:spacing w:line="240" w:lineRule="exact"/>
      <w:jc w:val="both"/>
      <w:outlineLvl w:val="2"/>
    </w:pPr>
    <w:rPr>
      <w:b/>
      <w:bCs/>
      <w:szCs w:val="15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bCs/>
      <w:szCs w:val="15"/>
    </w:rPr>
  </w:style>
  <w:style w:type="paragraph" w:styleId="5">
    <w:name w:val="heading 5"/>
    <w:basedOn w:val="a"/>
    <w:next w:val="a"/>
    <w:qFormat/>
    <w:pPr>
      <w:keepNext/>
      <w:spacing w:line="240" w:lineRule="exact"/>
      <w:ind w:firstLine="567"/>
      <w:jc w:val="both"/>
      <w:outlineLvl w:val="4"/>
    </w:pPr>
    <w:rPr>
      <w:b/>
      <w:bCs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b/>
      <w:bCs/>
      <w:smallCaps w:val="0"/>
      <w:color w:val="3333FF"/>
      <w:sz w:val="24"/>
      <w:szCs w:val="24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color w:val="336699"/>
    </w:rPr>
  </w:style>
  <w:style w:type="character" w:styleId="a5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fectology.spb.ru/RUK/cefalosp/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fectology.spb.ru/RUK/cefalosp/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www.infectology.spb.ru/RUK/cefalosp/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Цефалоспорины: спектр активности, </vt:lpstr>
    </vt:vector>
  </TitlesOfParts>
  <Company>OPP</Company>
  <LinksUpToDate>false</LinksUpToDate>
  <CharactersWithSpaces>45074</CharactersWithSpaces>
  <SharedDoc>false</SharedDoc>
  <HLinks>
    <vt:vector size="18" baseType="variant">
      <vt:variant>
        <vt:i4>196682</vt:i4>
      </vt:variant>
      <vt:variant>
        <vt:i4>-1</vt:i4>
      </vt:variant>
      <vt:variant>
        <vt:i4>1027</vt:i4>
      </vt:variant>
      <vt:variant>
        <vt:i4>1</vt:i4>
      </vt:variant>
      <vt:variant>
        <vt:lpwstr>http://www.infectology.spb.ru/RUK/cefalosp/1.gif</vt:lpwstr>
      </vt:variant>
      <vt:variant>
        <vt:lpwstr/>
      </vt:variant>
      <vt:variant>
        <vt:i4>74</vt:i4>
      </vt:variant>
      <vt:variant>
        <vt:i4>-1</vt:i4>
      </vt:variant>
      <vt:variant>
        <vt:i4>1029</vt:i4>
      </vt:variant>
      <vt:variant>
        <vt:i4>1</vt:i4>
      </vt:variant>
      <vt:variant>
        <vt:lpwstr>http://www.infectology.spb.ru/RUK/cefalosp/2.gif</vt:lpwstr>
      </vt:variant>
      <vt:variant>
        <vt:lpwstr/>
      </vt:variant>
      <vt:variant>
        <vt:i4>65610</vt:i4>
      </vt:variant>
      <vt:variant>
        <vt:i4>-1</vt:i4>
      </vt:variant>
      <vt:variant>
        <vt:i4>1030</vt:i4>
      </vt:variant>
      <vt:variant>
        <vt:i4>1</vt:i4>
      </vt:variant>
      <vt:variant>
        <vt:lpwstr>http://www.infectology.spb.ru/RUK/cefalosp/3.gif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Цефалоспорины: спектр активности,</dc:title>
  <dc:subject/>
  <dc:creator>Yuriy K. Bessatyan</dc:creator>
  <cp:keywords/>
  <dc:description/>
  <cp:lastModifiedBy>Igor</cp:lastModifiedBy>
  <cp:revision>3</cp:revision>
  <dcterms:created xsi:type="dcterms:W3CDTF">2024-11-20T08:18:00Z</dcterms:created>
  <dcterms:modified xsi:type="dcterms:W3CDTF">2024-11-20T08:18:00Z</dcterms:modified>
</cp:coreProperties>
</file>