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04542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Вакцинация против дифтерии и столбняка детей, имеющих в анамнезе солидные опухоли.</w:t>
      </w:r>
    </w:p>
    <w:p w:rsidR="00000000" w:rsidRDefault="00E04542">
      <w:pPr>
        <w:jc w:val="both"/>
        <w:rPr>
          <w:sz w:val="24"/>
          <w:szCs w:val="24"/>
        </w:rPr>
      </w:pP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В конце ХХ века нет необходимости обсуждать значение иммунопрофилактики инфекционных боле</w:t>
      </w:r>
      <w:r>
        <w:rPr>
          <w:sz w:val="24"/>
          <w:szCs w:val="24"/>
        </w:rPr>
        <w:t xml:space="preserve">зней, эффективность которой наглядно продемонстрирована десятками лет ее практического применения. </w:t>
      </w: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первую очередь в защите от инфекционных болезней нуждаются дети, организм которых ослаблен в силу разных причин врожденного или приобретенного характера. </w:t>
      </w:r>
      <w:r>
        <w:rPr>
          <w:sz w:val="24"/>
          <w:szCs w:val="24"/>
        </w:rPr>
        <w:t>К такой “группе риска” заражения инфекционными агентами относятся дети, перенесшие онкологические заболевания, получавшие после выявления злокачественного новообразования медицинский отвод от профилактических прививок.</w:t>
      </w: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Между тем, прогресс в лечении злокаче</w:t>
      </w:r>
      <w:r>
        <w:rPr>
          <w:sz w:val="24"/>
          <w:szCs w:val="24"/>
        </w:rPr>
        <w:t>ственных опухолей позволяет добиться излечения более 80% детей больных лимфогранулематозом (Lemerie G. 1988), 60% больных различными саркомами, 80-85% - нефробластомами, нейробластомами, ретинобластомами (Дурнов Л.А. 1994). Так по данным московского канцер</w:t>
      </w:r>
      <w:r>
        <w:rPr>
          <w:sz w:val="24"/>
          <w:szCs w:val="24"/>
        </w:rPr>
        <w:t>-регистра под наблюдением находится 345 детей, излеченных от солидных злокачественных новообразований.</w:t>
      </w: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Значительное увеличение числа детей, выздоровевших от онкологического заболевания ставит перед врачами различных специальностей проблему комплексной реаб</w:t>
      </w:r>
      <w:r>
        <w:rPr>
          <w:sz w:val="24"/>
          <w:szCs w:val="24"/>
        </w:rPr>
        <w:t>илитации этого контингента детей, в том числе и защиту их от инфекционных болезней. При этом следует учитывать, что после полученного комплекса противоопухолевых мероприятий, обладающих иммуносупрессивным действием, дети более восприимчивы к инфекции.</w:t>
      </w: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Изве</w:t>
      </w:r>
      <w:r>
        <w:rPr>
          <w:sz w:val="24"/>
          <w:szCs w:val="24"/>
        </w:rPr>
        <w:t>стно, что в зарубежных странах ведется активная работа по вакцинации против различных инфекционных заболеваний пациентов, получавших иммуносупрессивную терапию, в то время как в нашей стране это направление оставалось неизученным. Работы зарубежных авторов</w:t>
      </w:r>
      <w:r>
        <w:rPr>
          <w:sz w:val="24"/>
          <w:szCs w:val="24"/>
        </w:rPr>
        <w:t xml:space="preserve"> свидетельствуют о том, что вакцинация детей с онкозаболеваниями убитыми вакцинами (против гепатита В, дифтерии, столбняка и др.) через 6 месяцев и более после проведения специфического противоопухолевого лечения не вызывает развития рецидивов основного за</w:t>
      </w:r>
      <w:r>
        <w:rPr>
          <w:sz w:val="24"/>
          <w:szCs w:val="24"/>
        </w:rPr>
        <w:t>болевания и метастазирования (Benkerrou M. 1994, Filton L. 1988, Gershon A. 1993, Ridgway D. 1993 et al), и приводит к формированию специфического иммунитета.</w:t>
      </w: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В то же время нам не удалось найти работ, посвященных изучению особенностей динамики и интенсивно</w:t>
      </w:r>
      <w:r>
        <w:rPr>
          <w:sz w:val="24"/>
          <w:szCs w:val="24"/>
        </w:rPr>
        <w:t>сти продукции специфических антител, а также фазных изменений Т- и В-клеток у детей, привитых после проведения полихимиотерапии. Остаются неизученными вопросы об эффективности применения отечественных препаратов против дифтерии и столбняка, а также длитель</w:t>
      </w:r>
      <w:r>
        <w:rPr>
          <w:sz w:val="24"/>
          <w:szCs w:val="24"/>
        </w:rPr>
        <w:t>ность сохранения защитных титров специфических антител у привитых детей с различными нозологическими формами солидных опухолей.</w:t>
      </w: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Между тем, в связи с возникающими в детских коллективах эпидемиологическими ситуациями, изучение этих вопросов приобретает особу</w:t>
      </w:r>
      <w:r>
        <w:rPr>
          <w:sz w:val="24"/>
          <w:szCs w:val="24"/>
        </w:rPr>
        <w:t xml:space="preserve">ю актуальность именно для этого контингента детей с нарушенной иммунной системой. </w:t>
      </w:r>
    </w:p>
    <w:p w:rsidR="00000000" w:rsidRDefault="00E04542">
      <w:pPr>
        <w:jc w:val="both"/>
        <w:rPr>
          <w:sz w:val="24"/>
          <w:szCs w:val="24"/>
        </w:rPr>
      </w:pP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Результаты исследования легли в основу Методических рекомендаций для практического здравоохранения по проведению вакцинации против дифтерии и столбняка детей, имеющих в ана</w:t>
      </w:r>
      <w:r>
        <w:rPr>
          <w:sz w:val="24"/>
          <w:szCs w:val="24"/>
        </w:rPr>
        <w:t>мнезе солидные опухоли, в которых определены сроки и подходы к проведению вакцинации данного контингента детей.</w:t>
      </w: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Разработанные методические рекомендации позволят в масштабах всей страны проводить профилактическую вакцинацию против дифтерии и столбняка детям</w:t>
      </w:r>
      <w:r>
        <w:rPr>
          <w:sz w:val="24"/>
          <w:szCs w:val="24"/>
        </w:rPr>
        <w:t>, имеющим в анамнезе солидные опухоли.</w:t>
      </w:r>
    </w:p>
    <w:p w:rsidR="00000000" w:rsidRDefault="00E04542">
      <w:pPr>
        <w:jc w:val="both"/>
        <w:rPr>
          <w:sz w:val="24"/>
          <w:szCs w:val="24"/>
        </w:rPr>
      </w:pP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Материалы и методы исследования. Мы обследовали 120 детей с различными нозологиями в возрасте от 4 до 15 лет, находящихся в состоянии ремиссии после </w:t>
      </w:r>
      <w:r>
        <w:rPr>
          <w:sz w:val="24"/>
          <w:szCs w:val="24"/>
        </w:rPr>
        <w:lastRenderedPageBreak/>
        <w:t xml:space="preserve">окончания специфического лечения по поводу солидных опухолей более </w:t>
      </w:r>
      <w:r>
        <w:rPr>
          <w:sz w:val="24"/>
          <w:szCs w:val="24"/>
        </w:rPr>
        <w:t>2-х лет. Нозологические формы заболеваний у обследованных детей представлены в таблице 1.</w:t>
      </w:r>
    </w:p>
    <w:p w:rsidR="00000000" w:rsidRDefault="00E04542">
      <w:pPr>
        <w:jc w:val="both"/>
        <w:rPr>
          <w:sz w:val="24"/>
          <w:szCs w:val="24"/>
        </w:rPr>
      </w:pP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1. НОЗОЛОГИЧЕСКИЕ ФОРМЫ ЗАБОЛЕВАНИЙ У ДЕТЕЙ. </w:t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21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НОЗОЛОГИЧЕСКИЕ ФОРМЫ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ЧИСЛО ДЕТЕЙ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НЕФРОБЛАСТОМА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НЕЙРОБЛАСТОМА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РЕТИНОБЛАСТОМА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РАБДОМИОСАРКОМА</w:t>
            </w:r>
            <w:r>
              <w:rPr>
                <w:sz w:val="24"/>
                <w:szCs w:val="24"/>
              </w:rPr>
              <w:t xml:space="preserve"> МЯГКИХ ТКАНЕЙ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МЕЛАНОМА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ОПУХОЛИ ЯИЧНИКОВ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ОПУХОЛИ ЖЕЛТОЧНОГО МЕШКА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НЕФРОМА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ТЕРАТОМА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ОПУХОЛИ ЯИЧКА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ГЕПАТОБЛАСТОМА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ЛЕЙОМИОСАРКОМА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САРКОМА ЮИНГА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ОСТЕОГЕННАЯ САРКОМА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ХОНДРОСАРКОМА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 ЩИТОВИДНОЙ ЖЕЛЕЗЫ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ЛИМФОГРАНУЛЕМАТО</w:t>
            </w:r>
            <w:r>
              <w:rPr>
                <w:sz w:val="24"/>
                <w:szCs w:val="24"/>
              </w:rPr>
              <w:t>З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ЧИСЛО ДЕТЕЙ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120</w:t>
            </w:r>
          </w:p>
        </w:tc>
      </w:tr>
    </w:tbl>
    <w:p w:rsidR="00000000" w:rsidRDefault="00E04542">
      <w:pPr>
        <w:jc w:val="both"/>
        <w:rPr>
          <w:sz w:val="24"/>
          <w:szCs w:val="24"/>
        </w:rPr>
      </w:pPr>
    </w:p>
    <w:p w:rsidR="00000000" w:rsidRDefault="00E04542">
      <w:pPr>
        <w:jc w:val="both"/>
        <w:rPr>
          <w:i/>
          <w:iCs/>
          <w:smallCaps/>
          <w:sz w:val="24"/>
          <w:szCs w:val="24"/>
          <w:u w:val="single"/>
        </w:rPr>
      </w:pPr>
      <w:r>
        <w:rPr>
          <w:i/>
          <w:iCs/>
          <w:sz w:val="24"/>
          <w:szCs w:val="24"/>
        </w:rPr>
        <w:t xml:space="preserve"> </w:t>
      </w:r>
      <w:r>
        <w:rPr>
          <w:i/>
          <w:iCs/>
          <w:smallCaps/>
          <w:sz w:val="24"/>
          <w:szCs w:val="24"/>
          <w:u w:val="single"/>
        </w:rPr>
        <w:t>Вакцинальный статус.</w:t>
      </w: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До выявления злокачественного новообразования большинство детей начали получать первичный курс иммунизации против дифтерии и столбняка. Из 120 детей - 95 обследованных были вакцинированы до выявления зло</w:t>
      </w:r>
      <w:r>
        <w:rPr>
          <w:sz w:val="24"/>
          <w:szCs w:val="24"/>
        </w:rPr>
        <w:t>качественного новообразования, 14 детей не были иммунизированы, у 11 детей не удалось уточнить прививочный анамнез.</w:t>
      </w: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Методы исследования. При изучении течения вакцинального периода у детей, привитых до обнаружения у них новообразований, нами использовался м</w:t>
      </w:r>
      <w:r>
        <w:rPr>
          <w:sz w:val="24"/>
          <w:szCs w:val="24"/>
        </w:rPr>
        <w:t>етод опроса родителей вакцинированных детей. Ретроспективный анализ проведен при опросе родителей 95 детей.</w:t>
      </w: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Дети, подлежащие иммунизации, прошли комплексное обследование в НИИ ДОиГ ОНЦ РАМН. Обследование включало: осмотр врачем-онкологом; УЗИ органов брюшн</w:t>
      </w:r>
      <w:r>
        <w:rPr>
          <w:sz w:val="24"/>
          <w:szCs w:val="24"/>
        </w:rPr>
        <w:t>ой полости и забрюшинного пространства; рентгенографию грудной клетки; общий анализ крови с исследованием уровня тромбоцитов; исследование иммунного статуса, в том числе определение количества лимфоцитов и их субпопуляций (CD3, CD4, CD8, CD16, В-лимфоцитов</w:t>
      </w:r>
      <w:r>
        <w:rPr>
          <w:sz w:val="24"/>
          <w:szCs w:val="24"/>
        </w:rPr>
        <w:t>) с помощью моноклональных антител на проточном цитофлуориметре, уровня иммуноглобулинов классов G, А, М по методу Mancini (в ряде случаев - IgE), уровня специфических антител против дифтерии и столбняка методами РПГА и, в ряде случаев, ИФА.</w:t>
      </w: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За привитыми д</w:t>
      </w:r>
      <w:r>
        <w:rPr>
          <w:sz w:val="24"/>
          <w:szCs w:val="24"/>
        </w:rPr>
        <w:t xml:space="preserve">етьми проводилось углубленное клиническое наблюдение с помощью детского онколога в течение 1-2 лет и более; большинству детей проводилось контрольное исследование иммунного статуса и серологическое исследование на наличие специфических антител через 1, 6, </w:t>
      </w:r>
      <w:r>
        <w:rPr>
          <w:sz w:val="24"/>
          <w:szCs w:val="24"/>
        </w:rPr>
        <w:t>12 и более месяцев после вакцинации.</w:t>
      </w: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В группе иммунизированных детей, изучали все виды реакций, возникающих в ответ на введение АДС-м анатоксина, в том числе и реакции предусмотренные инструкцией по применению препарата.</w:t>
      </w: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Материалы. Для иммунизации детей ис</w:t>
      </w:r>
      <w:r>
        <w:rPr>
          <w:sz w:val="24"/>
          <w:szCs w:val="24"/>
        </w:rPr>
        <w:t xml:space="preserve">пользовались следующие вакцинные препараты отечественного производства: </w:t>
      </w: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анатоксин дифтерийно-столбнячный очищенный адсорбированный с уменьшенным содержанием антигенов (АДС-м анатоксин) производства АО “Биомед” им.И.И.Мечникова. В одной прививочной дозе </w:t>
      </w:r>
      <w:r>
        <w:rPr>
          <w:sz w:val="24"/>
          <w:szCs w:val="24"/>
        </w:rPr>
        <w:t xml:space="preserve">(0,5 мл) препарат содержит 5 флокулирующих единиц (ЛФ) дифтерийного и 5 антитоксинсвязывающих единиц (ЕС) столбнячного анатоксинов; </w:t>
      </w: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- анатоксин дифтерийный очищенный адсорбированный с уменьшенным содержанием антигенов (АД-М анатоксин) производства АО “Био</w:t>
      </w:r>
      <w:r>
        <w:rPr>
          <w:sz w:val="24"/>
          <w:szCs w:val="24"/>
        </w:rPr>
        <w:t xml:space="preserve">мед” им.И.И.Мечникова. В одной прививочной дозе (0,5 мл) препарат содержит 5 ЛФ дифтерийного анатоксина; </w:t>
      </w:r>
    </w:p>
    <w:p w:rsidR="00000000" w:rsidRDefault="00E04542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- анатоксин столбнячный очищенный адсорбированный (АС-анатоксин) производства АО “Биомед” им.И.И.Мечникова. В одной прививочной дозе (0,5 мл) которого</w:t>
      </w:r>
      <w:r>
        <w:rPr>
          <w:sz w:val="24"/>
          <w:szCs w:val="24"/>
        </w:rPr>
        <w:t xml:space="preserve"> содержится 10 ЕС анатоксина.</w:t>
      </w:r>
    </w:p>
    <w:p w:rsidR="00000000" w:rsidRDefault="00E04542">
      <w:pPr>
        <w:jc w:val="both"/>
        <w:rPr>
          <w:sz w:val="24"/>
          <w:szCs w:val="24"/>
        </w:rPr>
      </w:pPr>
    </w:p>
    <w:p w:rsidR="00000000" w:rsidRDefault="00E04542">
      <w:pPr>
        <w:jc w:val="center"/>
        <w:rPr>
          <w:sz w:val="24"/>
          <w:szCs w:val="24"/>
        </w:rPr>
      </w:pPr>
      <w:r>
        <w:rPr>
          <w:sz w:val="24"/>
          <w:szCs w:val="24"/>
        </w:rPr>
        <w:t>СОСТОЯНИЕ ИММУННОГО СТАТУСА У ДЕТЕЙ С СОЛИДНЫМИ ЗЛОКАЧЕСТВЕННЫМИ НОВООБРАЗОВАНИЯМИ В ПРОЦЕССЕ ДЛИТЕЛЬНОЙ РЕМИССИИ.</w:t>
      </w:r>
    </w:p>
    <w:p w:rsidR="00000000" w:rsidRDefault="00E04542">
      <w:pPr>
        <w:jc w:val="both"/>
        <w:rPr>
          <w:sz w:val="24"/>
          <w:szCs w:val="24"/>
        </w:rPr>
      </w:pP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Как известно, тяжелые патологические состояния, связанные с развитием злокачественного новообразования, оказы</w:t>
      </w:r>
      <w:r>
        <w:rPr>
          <w:sz w:val="24"/>
          <w:szCs w:val="24"/>
        </w:rPr>
        <w:t>вают отрицательное воздействие на иммунную систему больного, которое еще более усугубляется применяемыми терапевтическими мерами.</w:t>
      </w: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Учитывая это, мы исследовали показатели иммунного статуса у 120 детей в возрасте от 4 до 15 лет, находившихся в фазе ремиссии </w:t>
      </w:r>
      <w:r>
        <w:rPr>
          <w:sz w:val="24"/>
          <w:szCs w:val="24"/>
        </w:rPr>
        <w:t>после окончания специфического противоопухолевого лечения более 2-х лет.</w:t>
      </w: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Мы сравнили показатели иммунного статуса 93 детей в возрасте от 7 до 15 лет с возрастными нормами иммунологических показателей, принятыми в НИИ ДОиГ ОНЦ РАМН.</w:t>
      </w: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анализе полученных д</w:t>
      </w:r>
      <w:r>
        <w:rPr>
          <w:sz w:val="24"/>
          <w:szCs w:val="24"/>
        </w:rPr>
        <w:t>анных было выявлено, что у детей, излеченных от онкологических заболеваний имеются отклонения от возрастной нормы, выраженные в достоверном снижении относительного и абсолютного числа лимфоцитов, В-лимфоцитов, относительного числа зрелых Т-лимфоцитов (CD3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), Т- супрессоров (CD8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), имеется тенденция к повышению абсолютного и относительного числа Т-хелперов (CD4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), иммунорегуляторного индекса (ИРИ).</w:t>
      </w: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Однако, средние значения показателей иммунного статуса у детей, перенесших онкологические заболевания и находящ</w:t>
      </w:r>
      <w:r>
        <w:rPr>
          <w:sz w:val="24"/>
          <w:szCs w:val="24"/>
        </w:rPr>
        <w:t>ихся в состоянии ремиссии более 2 лет, находятся в пределах возрастной нормы, принятых в России и равных М+/-1,5 δ.</w:t>
      </w: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Мы проанализировали направленность изменений иммунного статуса характерную для таких детей. Наибольшие отклонения показателей клеточного имм</w:t>
      </w:r>
      <w:r>
        <w:rPr>
          <w:sz w:val="24"/>
          <w:szCs w:val="24"/>
        </w:rPr>
        <w:t>унитета у детей старше 7 лет касаются зрелых Т-лимфоцитов (CD3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) и Т-супрессоров (CD8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) - они выражены в снижении их относительного числа от возрастной нормы у 45,6% и 54,4% детей соответственно, у 61,3% детей снижено абсолютное число В-лимфоцитов, иммунор</w:t>
      </w:r>
      <w:r>
        <w:rPr>
          <w:sz w:val="24"/>
          <w:szCs w:val="24"/>
        </w:rPr>
        <w:t>егуляторный индекс повышен у 45,6% обследованных детей, у 44,4% пациентов было снижено процентное содержание лимфоцитов.</w:t>
      </w: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У детей младше 7 лет отмечались значительные отклонения от возрастной нормы практически всех показателей клеточного иммунитета, за искл</w:t>
      </w:r>
      <w:r>
        <w:rPr>
          <w:sz w:val="24"/>
          <w:szCs w:val="24"/>
        </w:rPr>
        <w:t>ючением относительного числа Т-супрессоров, относительного и абсолютного числа натуральных киллеров. За пределы нижней границы возрастной нормы равной М+/-1,5 δ выходят абсолютные значения лимфоцитов, Т-супрессоров и В-лимфоцитов.</w:t>
      </w: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Наибольшие отклонения пок</w:t>
      </w:r>
      <w:r>
        <w:rPr>
          <w:sz w:val="24"/>
          <w:szCs w:val="24"/>
        </w:rPr>
        <w:t>азателей клеточного иммунитета у детей младше 7 лет касаются зрелых Т-лимфоцитов (CD3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) и Т-хелперов (CD4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) - они выражены в повышении их относительного количества от возрастной нормы у 57,8% и 42,3% детей соответственно, снижении относительного и абсолютн</w:t>
      </w:r>
      <w:r>
        <w:rPr>
          <w:sz w:val="24"/>
          <w:szCs w:val="24"/>
        </w:rPr>
        <w:t xml:space="preserve">ого числа В-лимфоцитов у 65,4% и 76,9% детей, соответственно. </w:t>
      </w: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детей, получавших комплексное противоопухолевое лечение (полихимиотерапия и лучевая терапия) выявляются существенные изменения в показателях клеточного иммунитета в отдаленные сроки ремиссии </w:t>
      </w:r>
      <w:r>
        <w:rPr>
          <w:sz w:val="24"/>
          <w:szCs w:val="24"/>
        </w:rPr>
        <w:t>после окончания лечения. Особенно наглядно видны эти изменения при сопоставлении показателей клеточного иммунитета у детей, получавших комплексное противоопухолевое лечение и аналогичных показателей у здоровых детей. В то же время пациенты, которым проводи</w:t>
      </w:r>
      <w:r>
        <w:rPr>
          <w:sz w:val="24"/>
          <w:szCs w:val="24"/>
        </w:rPr>
        <w:t xml:space="preserve">лось только оперативное удаление опухоли имеют менее выраженные отклонения от возрастной нормы. Тем не менее, эти изменения были достоверно значимы. </w:t>
      </w: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Они выражались в снижении абсолютного числа зрелых Т-лимфоцитов (CD3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) у 55,6% детей, абсолютного и относи</w:t>
      </w:r>
      <w:r>
        <w:rPr>
          <w:sz w:val="24"/>
          <w:szCs w:val="24"/>
        </w:rPr>
        <w:t>тельного количества Т-супрессоров (CD8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) у 66,7 и 61,1% пациентов соответственно, абсолютного числа В-лимфоцитов у 61,1% детей, относительного их числа у 72,2% обследованных. У 38,9% пациентов было выявлено повышение содержания относительного числа Т-хелпе</w:t>
      </w:r>
      <w:r>
        <w:rPr>
          <w:sz w:val="24"/>
          <w:szCs w:val="24"/>
        </w:rPr>
        <w:t>ров (CD4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), а у 44,4% их абсолютного числа. (Диаграммы 1 и 2).</w:t>
      </w: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При сравнении полученных данных, нам не удалось установить существенных различий в показателях клеточного иммунитета в зависимости от диагноза, полученного специфического противоопухолевого леч</w:t>
      </w:r>
      <w:r>
        <w:rPr>
          <w:sz w:val="24"/>
          <w:szCs w:val="24"/>
        </w:rPr>
        <w:t>ения и длительности ремиссии у большинства детей, излеченных от солидных злокачественных новообразований: у детей регистрируется снижение относительного числа зрелых Т-лимфоцитов (CD3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), относительного числа Т-супрессоров (CD8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), В-лимфоцитов. У многих дет</w:t>
      </w:r>
      <w:r>
        <w:rPr>
          <w:sz w:val="24"/>
          <w:szCs w:val="24"/>
        </w:rPr>
        <w:t xml:space="preserve">ей, получавших ПХТ и ЛТ снижено абсолютное число натуральных киллеров, чего мы не отметили у детей, получивших только оперативное лечение. </w:t>
      </w: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по нашим данным, изменения в иммунном статусе у детей с онкологическими заболеваниями сохраняются на </w:t>
      </w:r>
      <w:r>
        <w:rPr>
          <w:sz w:val="24"/>
          <w:szCs w:val="24"/>
        </w:rPr>
        <w:t>протяжении длительного времени после излечения.</w:t>
      </w:r>
    </w:p>
    <w:p w:rsidR="00000000" w:rsidRDefault="00E04542">
      <w:pPr>
        <w:jc w:val="both"/>
        <w:rPr>
          <w:sz w:val="24"/>
          <w:szCs w:val="24"/>
        </w:rPr>
      </w:pPr>
    </w:p>
    <w:p w:rsidR="00000000" w:rsidRDefault="00E04542">
      <w:pPr>
        <w:jc w:val="center"/>
        <w:rPr>
          <w:sz w:val="24"/>
          <w:szCs w:val="24"/>
        </w:rPr>
      </w:pPr>
      <w:r>
        <w:rPr>
          <w:sz w:val="24"/>
          <w:szCs w:val="24"/>
        </w:rPr>
        <w:t>РЕВАКЦИНАЦИЯ ПРОТИВ ДИФТЕРИИ И СТОЛБНЯКА АДС-М АНАТОКСИНОМ ДЕТЕЙ, ИМЕЮЩИХ В АНАМНЕЗЕ СОЛИДНЫЕ ОПУХОЛИ.</w:t>
      </w:r>
    </w:p>
    <w:p w:rsidR="00000000" w:rsidRDefault="00E04542">
      <w:pPr>
        <w:jc w:val="both"/>
        <w:rPr>
          <w:sz w:val="24"/>
          <w:szCs w:val="24"/>
        </w:rPr>
      </w:pP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Реакция на вакцинацию зависит от индивидуальной реактивности организма ребенка, в связи с чем необходим</w:t>
      </w:r>
      <w:r>
        <w:rPr>
          <w:sz w:val="24"/>
          <w:szCs w:val="24"/>
        </w:rPr>
        <w:t>о знать, как протекает вакцинальный период у детей, имеющих в анамнезе онкологическое заболевание, у которых возможны нарушения отдельных звеньев иммунной системы. При этом имеет значение не только клиническое течение самого вакцинального процесса, но такж</w:t>
      </w:r>
      <w:r>
        <w:rPr>
          <w:sz w:val="24"/>
          <w:szCs w:val="24"/>
        </w:rPr>
        <w:t>е, и это особенно важно, возможное влияние вакцинации на течение основного заболевания, а именно, - не повлияет ли введение вакцинного препарата на опухолевый процесс, рецидивирование или развитие метастазов.</w:t>
      </w: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выработки тактики в отношении иммунизации д</w:t>
      </w:r>
      <w:r>
        <w:rPr>
          <w:sz w:val="24"/>
          <w:szCs w:val="24"/>
        </w:rPr>
        <w:t>етей, имеющих в анамнезе онкологическое заболевание и получавших специфическое противоопухолевое лечение, принципиально важно учитывать следующее:</w:t>
      </w: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- переносимость такими детьми антигенного воздействия, их реакция на вакцинацию;</w:t>
      </w: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- безопасность введения детя</w:t>
      </w:r>
      <w:r>
        <w:rPr>
          <w:sz w:val="24"/>
          <w:szCs w:val="24"/>
        </w:rPr>
        <w:t>м вакцинных препаратов, в частности, их возможное влияние на возникновение рецидивов основного заболевания и метастазов;</w:t>
      </w: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- характерные черты процесса иммунизации, которые могут отличаться от такового у здоровых детей, так как логично предположить, что у де</w:t>
      </w:r>
      <w:r>
        <w:rPr>
          <w:sz w:val="24"/>
          <w:szCs w:val="24"/>
        </w:rPr>
        <w:t>тей, перенесших злокачественное заболевание, могут длительно сохраняться различные нарушения отдельных звеньев иммунной системы. Понятно, что иммунизация не должна вызывать выраженных изменений функциональной активности иммунной системы ребенка, которые вы</w:t>
      </w:r>
      <w:r>
        <w:rPr>
          <w:sz w:val="24"/>
          <w:szCs w:val="24"/>
        </w:rPr>
        <w:t>ходят за пределы физиологических реакций;</w:t>
      </w: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- эффективность иммунизации, т.е. способность иммунной системы детей к выработке специфического иммунитета, к ревакцинаторному эффекту и сохранению специфических антител в течение продолжительного времени.</w:t>
      </w: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Нами про</w:t>
      </w:r>
      <w:r>
        <w:rPr>
          <w:sz w:val="24"/>
          <w:szCs w:val="24"/>
        </w:rPr>
        <w:t>веден анализ прививочного анамнеза у 95 детей с онкологическими заболеваниями, которые были выявлены после того как детям начали проводить профилактические прививки. При проведении опроса было выяснено, что 90% родителей не отмечали никаких побочных реакци</w:t>
      </w:r>
      <w:r>
        <w:rPr>
          <w:sz w:val="24"/>
          <w:szCs w:val="24"/>
        </w:rPr>
        <w:t>й или ухудшения состояния здоровья детей после иммунизации АКДС или АДС-М препаратами. В 10% случаев родители отмечали в раннем поствакцинальном периоде гиперемию в месте инъекции, отек мягких тканей размером до 5 см, повышение температуры до 37,5-37,8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С; </w:t>
      </w:r>
      <w:r>
        <w:rPr>
          <w:sz w:val="24"/>
          <w:szCs w:val="24"/>
        </w:rPr>
        <w:t>эти явления проходили самостоятельно в течение 1-2 дней или после приема антипиретиков. Указанные реакции не выходят за пределы нормальных местных и общих реакций на введение АДС-М анатоксина или АКДС-вакцины, которые могут наблюдаться у отдельных привитых</w:t>
      </w:r>
      <w:r>
        <w:rPr>
          <w:sz w:val="24"/>
          <w:szCs w:val="24"/>
        </w:rPr>
        <w:t xml:space="preserve">. </w:t>
      </w: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Нами было ревакцинировано 26 детей в возрасте 4-15 лет с различными нозологическими формами онкологического заболевания (таблица 2). У всех этих детей показатели клеточного и гуморального иммунитета были близки к возрастной норме, все эти дети редко бол</w:t>
      </w:r>
      <w:r>
        <w:rPr>
          <w:sz w:val="24"/>
          <w:szCs w:val="24"/>
        </w:rPr>
        <w:t xml:space="preserve">ели острыми респираторно-вирусными инфекциями, что послужило критериями отбора их для ревакцинации. </w:t>
      </w:r>
    </w:p>
    <w:p w:rsidR="00000000" w:rsidRDefault="00E04542">
      <w:pPr>
        <w:jc w:val="both"/>
        <w:rPr>
          <w:sz w:val="24"/>
          <w:szCs w:val="24"/>
        </w:rPr>
      </w:pP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Таблица 2. НОЗОЛОГИЧЕСКИЕ ФОРМЫ.</w:t>
      </w: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4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15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НОЗОЛОГИЧЕСКИЕ ФОРМЫ</w:t>
            </w:r>
          </w:p>
        </w:tc>
        <w:tc>
          <w:tcPr>
            <w:tcW w:w="2410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ДЕТЕЙ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15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НЕФРОБЛАСТОМА</w:t>
            </w:r>
          </w:p>
        </w:tc>
        <w:tc>
          <w:tcPr>
            <w:tcW w:w="2410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15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НЕЙРОБЛАСТОМА</w:t>
            </w:r>
          </w:p>
        </w:tc>
        <w:tc>
          <w:tcPr>
            <w:tcW w:w="2410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15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РАБДОМИОСАРКОМА МЯГКИХ ТКАНЕЙ</w:t>
            </w:r>
          </w:p>
        </w:tc>
        <w:tc>
          <w:tcPr>
            <w:tcW w:w="2410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15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ОПУХОЛЬ ЖЕЛТОЧНОГО </w:t>
            </w:r>
            <w:r>
              <w:rPr>
                <w:sz w:val="24"/>
                <w:szCs w:val="24"/>
              </w:rPr>
              <w:t>МЕШКА</w:t>
            </w:r>
          </w:p>
        </w:tc>
        <w:tc>
          <w:tcPr>
            <w:tcW w:w="2410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15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РЕТИНОБЛАСТОМА</w:t>
            </w:r>
          </w:p>
        </w:tc>
        <w:tc>
          <w:tcPr>
            <w:tcW w:w="2410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15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ЭМБРИОНАЛЬНЫЙ РАК ЯИЧКА</w:t>
            </w:r>
          </w:p>
        </w:tc>
        <w:tc>
          <w:tcPr>
            <w:tcW w:w="2410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15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ОСТЕОГЕННАЯ САРКОМА</w:t>
            </w:r>
          </w:p>
        </w:tc>
        <w:tc>
          <w:tcPr>
            <w:tcW w:w="2410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15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МЕЛАНОМА</w:t>
            </w:r>
          </w:p>
        </w:tc>
        <w:tc>
          <w:tcPr>
            <w:tcW w:w="2410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15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ЛЕЙОМИОСАРКАМА</w:t>
            </w:r>
          </w:p>
        </w:tc>
        <w:tc>
          <w:tcPr>
            <w:tcW w:w="2410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15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ГЕПАТОБЛАСТОМА</w:t>
            </w:r>
          </w:p>
        </w:tc>
        <w:tc>
          <w:tcPr>
            <w:tcW w:w="2410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15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ЛИМФОГРАНУЛЕМАТОЗ</w:t>
            </w:r>
          </w:p>
        </w:tc>
        <w:tc>
          <w:tcPr>
            <w:tcW w:w="2410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000000" w:rsidRDefault="00E04542">
      <w:pPr>
        <w:jc w:val="both"/>
        <w:rPr>
          <w:sz w:val="24"/>
          <w:szCs w:val="24"/>
        </w:rPr>
      </w:pP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У большинства детей ранний и поздний поствакцинальный период протекал без особенностей. Важно отметить, что п</w:t>
      </w:r>
      <w:r>
        <w:rPr>
          <w:sz w:val="24"/>
          <w:szCs w:val="24"/>
        </w:rPr>
        <w:t>ри контрольном обследовании, включающем в себя осмотр врачем-онкологом, УЗИ органов органов брюшной полости и забрюшинного пространства, рентгенографию грудной клетки, а также дополнительные исследования в соответствии с нозологической формой перенесенного</w:t>
      </w:r>
      <w:r>
        <w:rPr>
          <w:sz w:val="24"/>
          <w:szCs w:val="24"/>
        </w:rPr>
        <w:t xml:space="preserve"> опухолевого процесса, признаков рецидива и метастазирования в течение года после иммунизации выявлено не было.</w:t>
      </w: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В раннем поствакцинальном периоде у 2 (7,7%) детей мы наблюдали прививочные реакции в виде гиперемии более 5 см в месте инъекции, повышение темп</w:t>
      </w:r>
      <w:r>
        <w:rPr>
          <w:sz w:val="24"/>
          <w:szCs w:val="24"/>
        </w:rPr>
        <w:t>ературы до 38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С, купировавшиеся в течение 3-5 дней. </w:t>
      </w:r>
    </w:p>
    <w:p w:rsidR="00000000" w:rsidRDefault="00E04542">
      <w:pPr>
        <w:jc w:val="both"/>
        <w:rPr>
          <w:i/>
          <w:iCs/>
          <w:sz w:val="24"/>
          <w:szCs w:val="24"/>
        </w:rPr>
      </w:pPr>
    </w:p>
    <w:p w:rsidR="00000000" w:rsidRDefault="00E04542">
      <w:pPr>
        <w:jc w:val="center"/>
        <w:rPr>
          <w:sz w:val="24"/>
          <w:szCs w:val="24"/>
        </w:rPr>
      </w:pPr>
      <w:r>
        <w:rPr>
          <w:sz w:val="24"/>
          <w:szCs w:val="24"/>
        </w:rPr>
        <w:t>ИЗУЧЕНИЕ И ОЦЕНКА ПОКАЗАТЕЛЕЙ КЛЕТОЧНОГО ИММУНИТЕТА ПОСЛЕ ПРОВЕДЕНИЯ РЕВАКЦИНАЦИИ.</w:t>
      </w:r>
    </w:p>
    <w:p w:rsidR="00000000" w:rsidRDefault="00E04542">
      <w:pPr>
        <w:jc w:val="both"/>
        <w:rPr>
          <w:sz w:val="24"/>
          <w:szCs w:val="24"/>
        </w:rPr>
      </w:pP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Известно, что вакцинация, наряду со специфическим иммунным ответом, вызывает неспецифические сдвиги в системе иммуноко</w:t>
      </w:r>
      <w:r>
        <w:rPr>
          <w:sz w:val="24"/>
          <w:szCs w:val="24"/>
        </w:rPr>
        <w:t xml:space="preserve">мпетентных клеток человека, проявляющиеся в изменении численности и функциональной активности различных субпопуляций лимфоцитов (Николаенко, Краскина). </w:t>
      </w: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В какой-то степени вакцинация вмешивается в систему поддержания иммунологического гомеостаза. Ниже прив</w:t>
      </w:r>
      <w:r>
        <w:rPr>
          <w:sz w:val="24"/>
          <w:szCs w:val="24"/>
        </w:rPr>
        <w:t xml:space="preserve">едены результаты определения закономерностей неспецифического реагирования иммунной системы детей, перенесших онкологическое заболевание. </w:t>
      </w:r>
    </w:p>
    <w:p w:rsidR="00000000" w:rsidRDefault="00E04542">
      <w:pPr>
        <w:jc w:val="both"/>
        <w:rPr>
          <w:sz w:val="24"/>
          <w:szCs w:val="24"/>
        </w:rPr>
      </w:pPr>
    </w:p>
    <w:p w:rsidR="00000000" w:rsidRDefault="00E04542">
      <w:pPr>
        <w:jc w:val="center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КОЛИЧЕСТВЕННЫЕ ИЗМЕНЕНИЯ СУБПОПУЛЯЦИЙ ИММУНОКОМПЕТЕНТНЫХ КЛЕТОК В ПРОЦЕССЕ НАБЛЮДЕНИЯ.</w:t>
      </w:r>
    </w:p>
    <w:p w:rsidR="00000000" w:rsidRDefault="00E04542">
      <w:pPr>
        <w:jc w:val="both"/>
        <w:rPr>
          <w:sz w:val="24"/>
          <w:szCs w:val="24"/>
        </w:rPr>
      </w:pP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Мы изучали изменения в сист</w:t>
      </w:r>
      <w:r>
        <w:rPr>
          <w:sz w:val="24"/>
          <w:szCs w:val="24"/>
        </w:rPr>
        <w:t xml:space="preserve">еме иммунокомпетентных клеток у детей, имеющих в анамнезе солидные опухоли, в процессе формирования поствакцинального иммунитета к анатоксинам возбудителей дифтерии и столбняка. </w:t>
      </w: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Оценку показателей клеточного иммунитета у привитых детей проводили до привив</w:t>
      </w:r>
      <w:r>
        <w:rPr>
          <w:sz w:val="24"/>
          <w:szCs w:val="24"/>
        </w:rPr>
        <w:t>ки, через 1 месяц, через 6 месяцев и через 1 год после ревакцинации. (Таблица3).</w:t>
      </w:r>
    </w:p>
    <w:p w:rsidR="00000000" w:rsidRDefault="00E04542">
      <w:pPr>
        <w:jc w:val="both"/>
        <w:rPr>
          <w:sz w:val="24"/>
          <w:szCs w:val="24"/>
        </w:rPr>
      </w:pP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Таблица3. ДИНАМИКА ПАРАМЕТРОВ КЛЕТОЧНОГО ЗВЕНА ИММУНИТЕТА У ДЕТЕЙ, ИМЕЮЩИХ В АНАМНЕЗЕ СОЛИДНЫЕ ОПУХОЛИ, В ПРОЦЕССЕ РЕВАКЦИНАЦИИ АДС-М АНАТОКСИНОМ.</w:t>
      </w:r>
    </w:p>
    <w:p w:rsidR="00000000" w:rsidRDefault="00E04542">
      <w:pPr>
        <w:jc w:val="both"/>
        <w:rPr>
          <w:sz w:val="24"/>
          <w:szCs w:val="24"/>
        </w:rPr>
      </w:pPr>
    </w:p>
    <w:tbl>
      <w:tblPr>
        <w:tblW w:w="0" w:type="auto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6"/>
        <w:gridCol w:w="1701"/>
        <w:gridCol w:w="1843"/>
        <w:gridCol w:w="1733"/>
        <w:gridCol w:w="19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%/abs</w:t>
            </w:r>
          </w:p>
        </w:tc>
        <w:tc>
          <w:tcPr>
            <w:tcW w:w="1701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R</w:t>
            </w:r>
          </w:p>
        </w:tc>
        <w:tc>
          <w:tcPr>
            <w:tcW w:w="1843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</w:t>
            </w:r>
            <w:r>
              <w:rPr>
                <w:sz w:val="24"/>
                <w:szCs w:val="24"/>
              </w:rPr>
              <w:t>з 1 мес</w:t>
            </w:r>
          </w:p>
        </w:tc>
        <w:tc>
          <w:tcPr>
            <w:tcW w:w="1733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6 мес.</w:t>
            </w:r>
          </w:p>
        </w:tc>
        <w:tc>
          <w:tcPr>
            <w:tcW w:w="1953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12 мес.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Лейкоциты</w:t>
            </w:r>
          </w:p>
        </w:tc>
        <w:tc>
          <w:tcPr>
            <w:tcW w:w="1701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8006.5+/-491</w:t>
            </w:r>
          </w:p>
        </w:tc>
        <w:tc>
          <w:tcPr>
            <w:tcW w:w="1843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8453.9+/-830</w:t>
            </w:r>
          </w:p>
        </w:tc>
        <w:tc>
          <w:tcPr>
            <w:tcW w:w="1733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7854.5+/-283</w:t>
            </w:r>
          </w:p>
        </w:tc>
        <w:tc>
          <w:tcPr>
            <w:tcW w:w="1953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7821.4+/-788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Лимфоциты ,%</w:t>
            </w:r>
          </w:p>
        </w:tc>
        <w:tc>
          <w:tcPr>
            <w:tcW w:w="1701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32+/-1.7</w:t>
            </w:r>
          </w:p>
        </w:tc>
        <w:tc>
          <w:tcPr>
            <w:tcW w:w="1843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33.8+/-1.5</w:t>
            </w:r>
          </w:p>
        </w:tc>
        <w:tc>
          <w:tcPr>
            <w:tcW w:w="1733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34.1+/-2.5</w:t>
            </w:r>
          </w:p>
        </w:tc>
        <w:tc>
          <w:tcPr>
            <w:tcW w:w="1953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38.9+/-3 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Лимфоциты,abs</w:t>
            </w:r>
          </w:p>
        </w:tc>
        <w:tc>
          <w:tcPr>
            <w:tcW w:w="1701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2491.3+/-175</w:t>
            </w:r>
          </w:p>
        </w:tc>
        <w:tc>
          <w:tcPr>
            <w:tcW w:w="1843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2795.6+/-258</w:t>
            </w:r>
          </w:p>
        </w:tc>
        <w:tc>
          <w:tcPr>
            <w:tcW w:w="1733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2627.5+/-177</w:t>
            </w:r>
          </w:p>
        </w:tc>
        <w:tc>
          <w:tcPr>
            <w:tcW w:w="1953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2978.9+/-353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CD3, % </w:t>
            </w:r>
          </w:p>
        </w:tc>
        <w:tc>
          <w:tcPr>
            <w:tcW w:w="1701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67.5+/-1.8</w:t>
            </w:r>
          </w:p>
        </w:tc>
        <w:tc>
          <w:tcPr>
            <w:tcW w:w="1843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73.2+/-2.9 **</w:t>
            </w:r>
          </w:p>
        </w:tc>
        <w:tc>
          <w:tcPr>
            <w:tcW w:w="1733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67.1+/-2.2</w:t>
            </w:r>
          </w:p>
        </w:tc>
        <w:tc>
          <w:tcPr>
            <w:tcW w:w="1953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67.2+/-2.5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CD3, abs.</w:t>
            </w:r>
          </w:p>
        </w:tc>
        <w:tc>
          <w:tcPr>
            <w:tcW w:w="1701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1681.9+/-102</w:t>
            </w:r>
          </w:p>
        </w:tc>
        <w:tc>
          <w:tcPr>
            <w:tcW w:w="1843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1967+/-161</w:t>
            </w:r>
          </w:p>
        </w:tc>
        <w:tc>
          <w:tcPr>
            <w:tcW w:w="1733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1768.4+/-126</w:t>
            </w:r>
          </w:p>
        </w:tc>
        <w:tc>
          <w:tcPr>
            <w:tcW w:w="1953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1781.7+/-245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CD4, % </w:t>
            </w:r>
          </w:p>
        </w:tc>
        <w:tc>
          <w:tcPr>
            <w:tcW w:w="1701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41.2+/-1.5</w:t>
            </w:r>
          </w:p>
        </w:tc>
        <w:tc>
          <w:tcPr>
            <w:tcW w:w="1843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48.1+/-2.2 *</w:t>
            </w:r>
          </w:p>
        </w:tc>
        <w:tc>
          <w:tcPr>
            <w:tcW w:w="1733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39.4+/-2.3</w:t>
            </w:r>
          </w:p>
        </w:tc>
        <w:tc>
          <w:tcPr>
            <w:tcW w:w="1953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35.8+/-1.9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CD4, abs </w:t>
            </w:r>
          </w:p>
        </w:tc>
        <w:tc>
          <w:tcPr>
            <w:tcW w:w="1701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1049.6+/-89</w:t>
            </w:r>
          </w:p>
        </w:tc>
        <w:tc>
          <w:tcPr>
            <w:tcW w:w="1843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1284.5+/-111**</w:t>
            </w:r>
          </w:p>
        </w:tc>
        <w:tc>
          <w:tcPr>
            <w:tcW w:w="1733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1030.7+/-84</w:t>
            </w:r>
          </w:p>
        </w:tc>
        <w:tc>
          <w:tcPr>
            <w:tcW w:w="1953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1032.6+/-156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CD8, %</w:t>
            </w:r>
          </w:p>
        </w:tc>
        <w:tc>
          <w:tcPr>
            <w:tcW w:w="1701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25+/-1</w:t>
            </w:r>
          </w:p>
        </w:tc>
        <w:tc>
          <w:tcPr>
            <w:tcW w:w="1843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24.9+/-1.3</w:t>
            </w:r>
          </w:p>
        </w:tc>
        <w:tc>
          <w:tcPr>
            <w:tcW w:w="1733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25.7+/-1.3</w:t>
            </w:r>
          </w:p>
        </w:tc>
        <w:tc>
          <w:tcPr>
            <w:tcW w:w="1953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24.9+/-2.2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CD8, abs</w:t>
            </w:r>
          </w:p>
        </w:tc>
        <w:tc>
          <w:tcPr>
            <w:tcW w:w="1701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612.2+/-39</w:t>
            </w:r>
          </w:p>
        </w:tc>
        <w:tc>
          <w:tcPr>
            <w:tcW w:w="1843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655.7+/-57</w:t>
            </w:r>
          </w:p>
        </w:tc>
        <w:tc>
          <w:tcPr>
            <w:tcW w:w="1733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670.6+/-52</w:t>
            </w:r>
          </w:p>
        </w:tc>
        <w:tc>
          <w:tcPr>
            <w:tcW w:w="1953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730.9+/-167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NK-cell, %</w:t>
            </w:r>
          </w:p>
        </w:tc>
        <w:tc>
          <w:tcPr>
            <w:tcW w:w="1701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14.4+/-1.3</w:t>
            </w:r>
          </w:p>
        </w:tc>
        <w:tc>
          <w:tcPr>
            <w:tcW w:w="1843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10.5+/-1.2 **</w:t>
            </w:r>
          </w:p>
        </w:tc>
        <w:tc>
          <w:tcPr>
            <w:tcW w:w="1733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9.1+/-1.4 *</w:t>
            </w:r>
          </w:p>
        </w:tc>
        <w:tc>
          <w:tcPr>
            <w:tcW w:w="1953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8.6+/-1.7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NK-cell, abs</w:t>
            </w:r>
          </w:p>
        </w:tc>
        <w:tc>
          <w:tcPr>
            <w:tcW w:w="1701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328.8+/-33</w:t>
            </w:r>
          </w:p>
        </w:tc>
        <w:tc>
          <w:tcPr>
            <w:tcW w:w="1843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286.9+/-46</w:t>
            </w:r>
          </w:p>
        </w:tc>
        <w:tc>
          <w:tcPr>
            <w:tcW w:w="1733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234.9+/-43 **</w:t>
            </w:r>
          </w:p>
        </w:tc>
        <w:tc>
          <w:tcPr>
            <w:tcW w:w="1953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207.1+/-47 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B-cell, %</w:t>
            </w:r>
          </w:p>
        </w:tc>
        <w:tc>
          <w:tcPr>
            <w:tcW w:w="1701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10.1+/-0.9</w:t>
            </w:r>
          </w:p>
        </w:tc>
        <w:tc>
          <w:tcPr>
            <w:tcW w:w="1843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6.3+/-0.7 ***</w:t>
            </w:r>
          </w:p>
        </w:tc>
        <w:tc>
          <w:tcPr>
            <w:tcW w:w="1733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7.97+/-0.8</w:t>
            </w:r>
          </w:p>
        </w:tc>
        <w:tc>
          <w:tcPr>
            <w:tcW w:w="1953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6.04+/-1.8 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B-cell, abs</w:t>
            </w:r>
          </w:p>
        </w:tc>
        <w:tc>
          <w:tcPr>
            <w:tcW w:w="1701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267.7+/-38</w:t>
            </w:r>
          </w:p>
        </w:tc>
        <w:tc>
          <w:tcPr>
            <w:tcW w:w="1843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169.2+/-24 **</w:t>
            </w:r>
          </w:p>
        </w:tc>
        <w:tc>
          <w:tcPr>
            <w:tcW w:w="1733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212.96+/-26 **</w:t>
            </w:r>
          </w:p>
        </w:tc>
        <w:tc>
          <w:tcPr>
            <w:tcW w:w="1953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219.2+/-79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CD4/CD8</w:t>
            </w:r>
          </w:p>
        </w:tc>
        <w:tc>
          <w:tcPr>
            <w:tcW w:w="1701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1.74+/-0.1</w:t>
            </w:r>
          </w:p>
        </w:tc>
        <w:tc>
          <w:tcPr>
            <w:tcW w:w="1843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1.9+/-0.1</w:t>
            </w:r>
          </w:p>
        </w:tc>
        <w:tc>
          <w:tcPr>
            <w:tcW w:w="1733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1.6+/-0.2</w:t>
            </w:r>
          </w:p>
        </w:tc>
        <w:tc>
          <w:tcPr>
            <w:tcW w:w="1953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1.59+/-0.2</w:t>
            </w:r>
          </w:p>
        </w:tc>
      </w:tr>
    </w:tbl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Примечания: * - p&lt;0,01; ** - р&lt; 0,05; *** - p&lt; 0,001</w:t>
      </w: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Из таблицы 3 видно, что ревакцинация АДС-М анатоксином детей, имеющих в анамнезе солидные опухоли вы</w:t>
      </w:r>
      <w:r>
        <w:rPr>
          <w:sz w:val="24"/>
          <w:szCs w:val="24"/>
        </w:rPr>
        <w:t>зывает достоверно значимые неспецифические изменения в системе иммунокомпетентных клеток через 1 месяц после прививки, выраженные в увеличении относительного(р&lt;0.05; W&lt;0,05; 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&lt;0,05) числа зрелых Т-лимфоцитов c 67,5+/-1,8 до 73,2+/-2,9, абсолютного (р&lt;0.05</w:t>
      </w:r>
      <w:r>
        <w:rPr>
          <w:sz w:val="24"/>
          <w:szCs w:val="24"/>
        </w:rPr>
        <w:t xml:space="preserve"> W&lt;0,05; 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&lt;0,05) и относительного (р&lt;0.01; W&lt;0,01; 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&lt;0,01) числа Т-хелперов с41,2+/-1,5 до 48,1+/-2,2 и с 1049,6+/-89 до 1284,5+/-111, соответственно, снижении относительного (р&lt;0.005; W&lt;0,01; 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&lt;0,05) и абсолютного (р&lt;0.05; W&lt;0,01) числа В-лимфоцитов с </w:t>
      </w:r>
      <w:r>
        <w:rPr>
          <w:sz w:val="24"/>
          <w:szCs w:val="24"/>
        </w:rPr>
        <w:t>10,1+/-0,9 до 6,3+/-0,7 и с 267,7+/-38 до 169,2+/-24, соответственно; относительное содержание натуральных киллеров (CD16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) достоверно снизилось (р&lt;0.05; W&lt;0,05; 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&lt;0,05) с 14,4+/-1,3 до 10,5+/-1,2. (Диаграммы 3 и 4). При сравнении полученных результатов с</w:t>
      </w:r>
      <w:r>
        <w:rPr>
          <w:sz w:val="24"/>
          <w:szCs w:val="24"/>
        </w:rPr>
        <w:t xml:space="preserve"> литературными данными о течении вакцинального процесса у привитых АДС-М анатоксином, нами были выявлены существенные различия. Некоторые авторы (Николаенко, Краскина) отмечали подобные изменения клеточного иммунитета при ревакцинации здоровых детей через </w:t>
      </w:r>
      <w:r>
        <w:rPr>
          <w:sz w:val="24"/>
          <w:szCs w:val="24"/>
        </w:rPr>
        <w:t>2 недели после прививки, а через 5 недель после ревакцинации (что соответствует нашим срокам наблюдения) - снижение числа Т-хелперов, нарастание числа В-лимфоцитов, повышение количества Т-супрессоров. Следовательно, можно предположить, что у детей, перенес</w:t>
      </w:r>
      <w:r>
        <w:rPr>
          <w:sz w:val="24"/>
          <w:szCs w:val="24"/>
        </w:rPr>
        <w:t>ших онкологическое заболевание, ревакцинация АДС-м анатоксином вызывает более замедленный характер фазных изменений числа В-клеток и субпопуляций Т-лимфоцитов. Через 6 и 12 месяцев после ревакцинации показатели клеточного иммунитета были близки к исходным,</w:t>
      </w:r>
      <w:r>
        <w:rPr>
          <w:sz w:val="24"/>
          <w:szCs w:val="24"/>
        </w:rPr>
        <w:t xml:space="preserve"> за исключением натуральных киллеров, относительное и абсолютное количество которых оставалось сниженным по-сравнению с исходным уровнем, сохраняясь, однако, у большинства детей в пределах возрастной нормы.</w:t>
      </w: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Так как у всех детей через 1 месяц после ревакцин</w:t>
      </w:r>
      <w:r>
        <w:rPr>
          <w:sz w:val="24"/>
          <w:szCs w:val="24"/>
        </w:rPr>
        <w:t>ации регистрировались защитные титры противодифтерийных и противостолбнячных антител, можно говорить о том, что несмотря на снижение абсолютного и относительного числа В-лимфоцитов их функциональная активность сохраняется на достаточно высоком уровне. Можн</w:t>
      </w:r>
      <w:r>
        <w:rPr>
          <w:sz w:val="24"/>
          <w:szCs w:val="24"/>
        </w:rPr>
        <w:t>о предположить, что снижение числа В-лимфоцитов связано с истощением их пула после антигенной нагрузки, восстанавливающееся по прошествии времени, о чем свидетельствует увеличение их числа через 6 месяцев. С чем связано стойкое снижение абсолютного и относ</w:t>
      </w:r>
      <w:r>
        <w:rPr>
          <w:sz w:val="24"/>
          <w:szCs w:val="24"/>
        </w:rPr>
        <w:t>ительного числа натуральных киллеров, регистрируемое через 1, 6 и 12 месяцев после ревакцинации остается неясным и требует дальнейшего изучения. Однако можно предположить, что изменения, регистрируемые в системе иммунорегуляторных клеток через 6-12 месяцев</w:t>
      </w:r>
      <w:r>
        <w:rPr>
          <w:sz w:val="24"/>
          <w:szCs w:val="24"/>
        </w:rPr>
        <w:t xml:space="preserve"> после ревакцинации связаны не с введением вакцинного препарата, а с общим состоянием ребенка, перенесенными инфекционными заболеваниями, временем года и многими другими факторами. </w:t>
      </w:r>
    </w:p>
    <w:p w:rsidR="00000000" w:rsidRDefault="00E04542">
      <w:pPr>
        <w:jc w:val="both"/>
        <w:rPr>
          <w:sz w:val="24"/>
          <w:szCs w:val="24"/>
        </w:rPr>
      </w:pPr>
    </w:p>
    <w:p w:rsidR="00000000" w:rsidRDefault="00E04542">
      <w:pPr>
        <w:jc w:val="center"/>
        <w:rPr>
          <w:sz w:val="24"/>
          <w:szCs w:val="24"/>
        </w:rPr>
      </w:pPr>
      <w:r>
        <w:rPr>
          <w:sz w:val="24"/>
          <w:szCs w:val="24"/>
        </w:rPr>
        <w:t>ДИНАМИКА ПОКАЗАТЕЛЕЙ ГУМОРАЛЬНОГО ИММУНИТЕТА.</w:t>
      </w:r>
    </w:p>
    <w:p w:rsidR="00000000" w:rsidRDefault="00E04542">
      <w:pPr>
        <w:jc w:val="both"/>
        <w:rPr>
          <w:sz w:val="24"/>
          <w:szCs w:val="24"/>
        </w:rPr>
      </w:pP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Анализ показателей гуморал</w:t>
      </w:r>
      <w:r>
        <w:rPr>
          <w:sz w:val="24"/>
          <w:szCs w:val="24"/>
        </w:rPr>
        <w:t>ьного иммунитета в процессе ревакцинации АДС-М анатоксином показал, что через 1 месяц после ревакцинации у большинства детей отмечается достоверное нарастание сывороточных иммуноглобулинов классов G (p&lt;0.05) с 142.7+/-10 до 192,7+/-18 и М (p&lt;0.05) с 156,1+</w:t>
      </w:r>
      <w:r>
        <w:rPr>
          <w:sz w:val="24"/>
          <w:szCs w:val="24"/>
        </w:rPr>
        <w:t>/-20 до 241,2+/-32, причем изменения IgM достоверно более значимы. Через 6 месяцев после ревакцинации уровень иммуноглобулинов всех классов был близок к исходному. (Таблица 4, диаграмма 5).</w:t>
      </w:r>
    </w:p>
    <w:p w:rsidR="00000000" w:rsidRDefault="00E04542">
      <w:pPr>
        <w:jc w:val="center"/>
        <w:rPr>
          <w:i/>
          <w:iCs/>
        </w:rPr>
      </w:pPr>
      <w:r>
        <w:rPr>
          <w:i/>
          <w:iCs/>
        </w:rPr>
        <w:t>Таблица4. ДИНАМИКА УРОВНЕЙ СЫВОРОТОЧНЫХ ИММУНОГЛОБУЛИНОВ КЛАССОВ G</w:t>
      </w:r>
      <w:r>
        <w:rPr>
          <w:i/>
          <w:iCs/>
        </w:rPr>
        <w:t>, A, M, E В ПРОЦЕССЕ РЕВАКЦИНАЦИИ АДС-М АНАТОКСИНОМ.</w:t>
      </w:r>
    </w:p>
    <w:p w:rsidR="00000000" w:rsidRDefault="00E04542">
      <w:pPr>
        <w:jc w:val="both"/>
        <w:rPr>
          <w:sz w:val="24"/>
          <w:szCs w:val="24"/>
        </w:rPr>
      </w:pPr>
    </w:p>
    <w:tbl>
      <w:tblPr>
        <w:tblW w:w="0" w:type="auto"/>
        <w:tblInd w:w="7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1"/>
        <w:gridCol w:w="1559"/>
        <w:gridCol w:w="1651"/>
        <w:gridCol w:w="1579"/>
        <w:gridCol w:w="14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R</w:t>
            </w:r>
          </w:p>
        </w:tc>
        <w:tc>
          <w:tcPr>
            <w:tcW w:w="1651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1 мес</w:t>
            </w:r>
          </w:p>
        </w:tc>
        <w:tc>
          <w:tcPr>
            <w:tcW w:w="1579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6 мес</w:t>
            </w:r>
          </w:p>
        </w:tc>
        <w:tc>
          <w:tcPr>
            <w:tcW w:w="1447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12 мес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IgG</w:t>
            </w:r>
          </w:p>
        </w:tc>
        <w:tc>
          <w:tcPr>
            <w:tcW w:w="1559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142.7+/-10</w:t>
            </w:r>
          </w:p>
        </w:tc>
        <w:tc>
          <w:tcPr>
            <w:tcW w:w="1651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192.7+/-18**</w:t>
            </w:r>
          </w:p>
        </w:tc>
        <w:tc>
          <w:tcPr>
            <w:tcW w:w="1579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126.2+/-16</w:t>
            </w:r>
          </w:p>
        </w:tc>
        <w:tc>
          <w:tcPr>
            <w:tcW w:w="1447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131.3+/-12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IgA</w:t>
            </w:r>
          </w:p>
        </w:tc>
        <w:tc>
          <w:tcPr>
            <w:tcW w:w="1559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87.1+/-10</w:t>
            </w:r>
          </w:p>
        </w:tc>
        <w:tc>
          <w:tcPr>
            <w:tcW w:w="1651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114.5+/-14</w:t>
            </w:r>
          </w:p>
        </w:tc>
        <w:tc>
          <w:tcPr>
            <w:tcW w:w="1579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81.3+/-17</w:t>
            </w:r>
          </w:p>
        </w:tc>
        <w:tc>
          <w:tcPr>
            <w:tcW w:w="1447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123.4+/-22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IgM</w:t>
            </w:r>
          </w:p>
        </w:tc>
        <w:tc>
          <w:tcPr>
            <w:tcW w:w="1559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156.1+/-20</w:t>
            </w:r>
          </w:p>
        </w:tc>
        <w:tc>
          <w:tcPr>
            <w:tcW w:w="1651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241.2+/-32**</w:t>
            </w:r>
          </w:p>
        </w:tc>
        <w:tc>
          <w:tcPr>
            <w:tcW w:w="1579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178+/-36</w:t>
            </w:r>
          </w:p>
        </w:tc>
        <w:tc>
          <w:tcPr>
            <w:tcW w:w="1447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105.3+/-12**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bottom w:val="nil"/>
            </w:tcBorders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IgE,&gt;7 лет</w:t>
            </w:r>
          </w:p>
        </w:tc>
        <w:tc>
          <w:tcPr>
            <w:tcW w:w="1559" w:type="dxa"/>
            <w:tcBorders>
              <w:bottom w:val="nil"/>
            </w:tcBorders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32+/-15</w:t>
            </w:r>
          </w:p>
        </w:tc>
        <w:tc>
          <w:tcPr>
            <w:tcW w:w="1651" w:type="dxa"/>
            <w:tcBorders>
              <w:bottom w:val="nil"/>
            </w:tcBorders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44.2+/-16.9</w:t>
            </w:r>
          </w:p>
        </w:tc>
        <w:tc>
          <w:tcPr>
            <w:tcW w:w="1579" w:type="dxa"/>
            <w:tcBorders>
              <w:bottom w:val="nil"/>
            </w:tcBorders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29.8+/-9</w:t>
            </w:r>
          </w:p>
        </w:tc>
        <w:tc>
          <w:tcPr>
            <w:tcW w:w="1447" w:type="dxa"/>
            <w:tcBorders>
              <w:bottom w:val="nil"/>
            </w:tcBorders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IgE,&lt;7 лет</w:t>
            </w:r>
          </w:p>
        </w:tc>
        <w:tc>
          <w:tcPr>
            <w:tcW w:w="1559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84.3+/-45</w:t>
            </w:r>
          </w:p>
        </w:tc>
        <w:tc>
          <w:tcPr>
            <w:tcW w:w="1651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53.3+/-46</w:t>
            </w:r>
          </w:p>
        </w:tc>
        <w:tc>
          <w:tcPr>
            <w:tcW w:w="1579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203.9+/-108</w:t>
            </w:r>
          </w:p>
        </w:tc>
        <w:tc>
          <w:tcPr>
            <w:tcW w:w="1447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</w:p>
        </w:tc>
      </w:tr>
    </w:tbl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Примечания: **- p&lt;0,05.</w:t>
      </w: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не выявили никакого существенного влияния введения АДС-М анатоксина на процессы, ответственные за формирование IgE у детей с онкологическими </w:t>
      </w:r>
      <w:r>
        <w:rPr>
          <w:sz w:val="24"/>
          <w:szCs w:val="24"/>
        </w:rPr>
        <w:t>заболеваниями.</w:t>
      </w:r>
    </w:p>
    <w:p w:rsidR="00000000" w:rsidRDefault="00E04542">
      <w:pPr>
        <w:jc w:val="both"/>
        <w:rPr>
          <w:i/>
          <w:iCs/>
          <w:sz w:val="24"/>
          <w:szCs w:val="24"/>
        </w:rPr>
      </w:pPr>
    </w:p>
    <w:p w:rsidR="00000000" w:rsidRDefault="00E04542">
      <w:pPr>
        <w:jc w:val="center"/>
        <w:rPr>
          <w:sz w:val="24"/>
          <w:szCs w:val="24"/>
        </w:rPr>
      </w:pPr>
      <w:r>
        <w:rPr>
          <w:sz w:val="24"/>
          <w:szCs w:val="24"/>
        </w:rPr>
        <w:t>ДИНАМИКА ТИТРОВ СПЕЦИФИЧЕСКИХ АТ К ДИФТЕРИИ И СТОЛБНЯКУ ПРИ РЕВАКЦИНАЦИИ.</w:t>
      </w:r>
    </w:p>
    <w:p w:rsidR="00000000" w:rsidRDefault="00E04542">
      <w:pPr>
        <w:jc w:val="both"/>
        <w:rPr>
          <w:sz w:val="24"/>
          <w:szCs w:val="24"/>
        </w:rPr>
      </w:pP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Ревакцинация АДС-М анатоксином была проведена 26 детям, имеющим в анамнезе солидные опухоли. Результаты исследований специфического иммунитета против дифтерии и стол</w:t>
      </w:r>
      <w:r>
        <w:rPr>
          <w:sz w:val="24"/>
          <w:szCs w:val="24"/>
        </w:rPr>
        <w:t>бняка методами РПГА и ИФА представлены в таблице 5.</w:t>
      </w:r>
    </w:p>
    <w:p w:rsidR="00000000" w:rsidRDefault="00E04542">
      <w:pPr>
        <w:jc w:val="both"/>
        <w:rPr>
          <w:sz w:val="24"/>
          <w:szCs w:val="24"/>
        </w:rPr>
      </w:pPr>
    </w:p>
    <w:p w:rsidR="00000000" w:rsidRDefault="00E04542">
      <w:pPr>
        <w:jc w:val="center"/>
        <w:rPr>
          <w:i/>
          <w:iCs/>
        </w:rPr>
      </w:pPr>
      <w:r>
        <w:rPr>
          <w:i/>
          <w:iCs/>
        </w:rPr>
        <w:t>Таблица 5. ДИНАМИКА ТИТРОВ СПЕЦИФИЧЕСКИХ АТ ПРОТИВ ДИФТЕРИИ И СТОЛБНЯКА В ПРОЦЕССЕ РЕВАКЦИНАЦИИ АДС-М АНАТОКСИНОМ.</w:t>
      </w: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1865"/>
        <w:gridCol w:w="1865"/>
        <w:gridCol w:w="1865"/>
        <w:gridCol w:w="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СПЕЦИФИЧЕСКИХ АНТИТЕЛ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9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РЕВАКЦИ</w:t>
            </w:r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НАЦИИ</w:t>
            </w:r>
          </w:p>
        </w:tc>
        <w:tc>
          <w:tcPr>
            <w:tcW w:w="5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РЕВАКЦИНАЦИИ</w:t>
            </w: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3614" w:type="dxa"/>
            <w:gridSpan w:val="2"/>
            <w:tcBorders>
              <w:top w:val="nil"/>
            </w:tcBorders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1 МЕС.</w:t>
            </w:r>
          </w:p>
        </w:tc>
        <w:tc>
          <w:tcPr>
            <w:tcW w:w="1865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</w:t>
            </w:r>
            <w:r>
              <w:rPr>
                <w:sz w:val="24"/>
                <w:szCs w:val="24"/>
              </w:rPr>
              <w:t xml:space="preserve"> 6 МЕС.</w:t>
            </w:r>
          </w:p>
        </w:tc>
        <w:tc>
          <w:tcPr>
            <w:tcW w:w="1865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12 МЕС.</w:t>
            </w: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913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ДИФТЕРИЯ РПГА</w:t>
            </w:r>
          </w:p>
        </w:tc>
        <w:tc>
          <w:tcPr>
            <w:tcW w:w="1701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1:11.3</w:t>
            </w:r>
            <w:r>
              <w:rPr>
                <w:sz w:val="24"/>
                <w:szCs w:val="24"/>
                <w:lang w:val="en-US"/>
              </w:rPr>
              <w:t>--</w:t>
            </w:r>
            <w:r>
              <w:rPr>
                <w:sz w:val="24"/>
                <w:szCs w:val="24"/>
              </w:rPr>
              <w:t>(log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3.5+/-0.8)</w:t>
            </w:r>
          </w:p>
        </w:tc>
        <w:tc>
          <w:tcPr>
            <w:tcW w:w="1865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1:1780</w:t>
            </w:r>
            <w:r>
              <w:rPr>
                <w:sz w:val="24"/>
                <w:szCs w:val="24"/>
                <w:lang w:val="en-US"/>
              </w:rPr>
              <w:t>--(</w:t>
            </w:r>
            <w:r>
              <w:rPr>
                <w:sz w:val="24"/>
                <w:szCs w:val="24"/>
              </w:rPr>
              <w:t>log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10.8+/-0.7)</w:t>
            </w:r>
          </w:p>
        </w:tc>
        <w:tc>
          <w:tcPr>
            <w:tcW w:w="1865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1:1910</w:t>
            </w:r>
            <w:r>
              <w:rPr>
                <w:sz w:val="24"/>
                <w:szCs w:val="24"/>
                <w:lang w:val="en-US"/>
              </w:rPr>
              <w:t>--</w:t>
            </w:r>
            <w:r>
              <w:rPr>
                <w:sz w:val="24"/>
                <w:szCs w:val="24"/>
              </w:rPr>
              <w:t>(log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10.9+/-0.9)</w:t>
            </w:r>
          </w:p>
        </w:tc>
        <w:tc>
          <w:tcPr>
            <w:tcW w:w="1865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1:676</w:t>
            </w:r>
            <w:r>
              <w:rPr>
                <w:sz w:val="24"/>
                <w:szCs w:val="24"/>
                <w:lang w:val="en-US"/>
              </w:rPr>
              <w:t>--</w:t>
            </w:r>
            <w:r>
              <w:rPr>
                <w:sz w:val="24"/>
                <w:szCs w:val="24"/>
              </w:rPr>
              <w:t>(log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9.4+/-0.7)</w:t>
            </w: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913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ДИФТЕРИЯ ИФА МЕ/мл</w:t>
            </w:r>
          </w:p>
        </w:tc>
        <w:tc>
          <w:tcPr>
            <w:tcW w:w="1701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0.035+/-0.02</w:t>
            </w:r>
          </w:p>
        </w:tc>
        <w:tc>
          <w:tcPr>
            <w:tcW w:w="1865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15.6+/-3.4</w:t>
            </w:r>
          </w:p>
        </w:tc>
        <w:tc>
          <w:tcPr>
            <w:tcW w:w="1865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7.98+/-2.2</w:t>
            </w:r>
          </w:p>
        </w:tc>
        <w:tc>
          <w:tcPr>
            <w:tcW w:w="1865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4.9+/-1.8</w:t>
            </w: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913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СТОЛБНЯК РПГА</w:t>
            </w:r>
          </w:p>
        </w:tc>
        <w:tc>
          <w:tcPr>
            <w:tcW w:w="1701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1:112</w:t>
            </w:r>
            <w:r>
              <w:rPr>
                <w:sz w:val="24"/>
                <w:szCs w:val="24"/>
                <w:lang w:val="en-US"/>
              </w:rPr>
              <w:t>--</w:t>
            </w:r>
            <w:r>
              <w:rPr>
                <w:sz w:val="24"/>
                <w:szCs w:val="24"/>
              </w:rPr>
              <w:t>(log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6.8+/-0.7)</w:t>
            </w:r>
          </w:p>
        </w:tc>
        <w:tc>
          <w:tcPr>
            <w:tcW w:w="1865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1:3850</w:t>
            </w:r>
            <w:r>
              <w:rPr>
                <w:sz w:val="24"/>
                <w:szCs w:val="24"/>
                <w:lang w:val="en-US"/>
              </w:rPr>
              <w:t>--</w:t>
            </w:r>
            <w:r>
              <w:rPr>
                <w:sz w:val="24"/>
                <w:szCs w:val="24"/>
              </w:rPr>
              <w:t>(log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11.9+/-0.8)</w:t>
            </w:r>
          </w:p>
        </w:tc>
        <w:tc>
          <w:tcPr>
            <w:tcW w:w="1865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1:3125</w:t>
            </w:r>
            <w:r>
              <w:rPr>
                <w:sz w:val="24"/>
                <w:szCs w:val="24"/>
                <w:lang w:val="en-US"/>
              </w:rPr>
              <w:t>--</w:t>
            </w:r>
            <w:r>
              <w:rPr>
                <w:sz w:val="24"/>
                <w:szCs w:val="24"/>
              </w:rPr>
              <w:t>(log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11.6+/-0.5)</w:t>
            </w:r>
          </w:p>
        </w:tc>
        <w:tc>
          <w:tcPr>
            <w:tcW w:w="1865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1:2720</w:t>
            </w:r>
            <w:r>
              <w:rPr>
                <w:sz w:val="24"/>
                <w:szCs w:val="24"/>
                <w:lang w:val="en-US"/>
              </w:rPr>
              <w:t>--</w:t>
            </w:r>
            <w:r>
              <w:rPr>
                <w:sz w:val="24"/>
                <w:szCs w:val="24"/>
              </w:rPr>
              <w:t>(log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11.4+/-1.4)</w:t>
            </w: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913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СТОЛБНЯК ИФА МЕ/мл</w:t>
            </w:r>
          </w:p>
        </w:tc>
        <w:tc>
          <w:tcPr>
            <w:tcW w:w="1701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0.61+/-0.023</w:t>
            </w:r>
          </w:p>
        </w:tc>
        <w:tc>
          <w:tcPr>
            <w:tcW w:w="1865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22.9+/-4.5</w:t>
            </w:r>
          </w:p>
        </w:tc>
        <w:tc>
          <w:tcPr>
            <w:tcW w:w="1865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16.9+/-3.1</w:t>
            </w:r>
          </w:p>
        </w:tc>
        <w:tc>
          <w:tcPr>
            <w:tcW w:w="1865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14.3+/-4.6</w:t>
            </w:r>
          </w:p>
        </w:tc>
      </w:tr>
    </w:tbl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Из таблицы 5 видно, что через 1 месяц после ревакцинации происходит достоверное (p&lt;0,001, W&lt;0,001) нарастание титров противодиф</w:t>
      </w:r>
      <w:r>
        <w:rPr>
          <w:sz w:val="24"/>
          <w:szCs w:val="24"/>
        </w:rPr>
        <w:t>терийных антител с 1:11.3 (log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3.5+/-0.8) до 1:1780 (log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10.8+/-0.7), через 6 месяцев - незначительное нарастание уровня антител к дифтерии до 1:1910 (log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10.9+/-0.9), через 12 месяцев - некоторое снижение титров противодифтерийных антител до 1:676 (log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9</w:t>
      </w:r>
      <w:r>
        <w:rPr>
          <w:sz w:val="24"/>
          <w:szCs w:val="24"/>
        </w:rPr>
        <w:t xml:space="preserve">.4+/-0.7), антитела, однако, сохранялись на достаточном уровне. </w:t>
      </w: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Исследование противодифтерийного иммунитета методом ИФА выявило достоверное нарастание специфических антител через 1 месяц после ревакцинации до высоких защитных значений с 0,035+/-0,02 МЕ/мл</w:t>
      </w:r>
      <w:r>
        <w:rPr>
          <w:sz w:val="24"/>
          <w:szCs w:val="24"/>
        </w:rPr>
        <w:t xml:space="preserve"> до 15,6+/-3,4 МЕ/мл с последующим снижением показателей через 6 и 12 месяцев до 7,98+/-2,2 и 4,9+/-1,8 соответственно, что является защитным уровнем.</w:t>
      </w: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Ревакцинация привела к достоверному (p&lt;0,005, W&lt;0,005) нарастанию уровней противостолбнячных антител чере</w:t>
      </w:r>
      <w:r>
        <w:rPr>
          <w:sz w:val="24"/>
          <w:szCs w:val="24"/>
        </w:rPr>
        <w:t>з 1 месяц после прививки, что установлено методами РПГА и ИФА с 1:112 (log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6.8+/-0.7) до 1:3850 (log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11.9+/-0.8) и с 0.61+/-0.023 МЕ/мл до 22.9+/-4.5 МЕ/мл, соответственно. Через 6 месяцев после ревакцинации отмечалось некоторое снижение титров противосто</w:t>
      </w:r>
      <w:r>
        <w:rPr>
          <w:sz w:val="24"/>
          <w:szCs w:val="24"/>
        </w:rPr>
        <w:t>лбнячных антител до 1:3125 (log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11.6+/-0.5) в РПГА и до 16.9+/-3.1 МЕ/мл в ИФА. Через 12 месяцев произошло дальнейшее снижение специфических антител до 1:2720 (log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11.4+/-1.4) методом РПГА и до 14.3+/-4.6 МЕ/мл методом ИФА, что соответствует достаточному у</w:t>
      </w:r>
      <w:r>
        <w:rPr>
          <w:sz w:val="24"/>
          <w:szCs w:val="24"/>
        </w:rPr>
        <w:t>ровню антитоксической защиты.</w:t>
      </w: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Проведенные исследования свидетельствуют о том, что дети, перенесшие злокачественное новообразование и интенсивное противоопухолевое лечение и находящиеся в длительной ремиссии, способны адекватно реагировать на введение АДС-М</w:t>
      </w:r>
      <w:r>
        <w:rPr>
          <w:sz w:val="24"/>
          <w:szCs w:val="24"/>
        </w:rPr>
        <w:t xml:space="preserve"> анатоксина и вырабатывать специфический иммунитет в защитных титрах (Диаграмма 6).</w:t>
      </w: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исследовании специфического антитоксического иммунитета против дифтерии и столбняка у детей получивших до выявления онкологического заболевания первичный курс профилакт</w:t>
      </w:r>
      <w:r>
        <w:rPr>
          <w:sz w:val="24"/>
          <w:szCs w:val="24"/>
        </w:rPr>
        <w:t xml:space="preserve">ических </w:t>
      </w:r>
      <w:r>
        <w:rPr>
          <w:spacing w:val="-20"/>
          <w:sz w:val="24"/>
          <w:szCs w:val="24"/>
        </w:rPr>
        <w:t>прививок нами установлено, что несмотря на комплексное противоопухолевое лечение, обладающее иммуносупрессивным действием, дети сохраняют защитные титры</w:t>
      </w:r>
      <w:r>
        <w:rPr>
          <w:sz w:val="24"/>
          <w:szCs w:val="24"/>
        </w:rPr>
        <w:t xml:space="preserve"> противодифтерийных и противостолбнячных антител в течение 5 лет после иммунизации. Таблица 6.</w:t>
      </w:r>
    </w:p>
    <w:p w:rsidR="00000000" w:rsidRDefault="00E04542">
      <w:pPr>
        <w:jc w:val="both"/>
        <w:rPr>
          <w:sz w:val="24"/>
          <w:szCs w:val="24"/>
        </w:rPr>
      </w:pPr>
    </w:p>
    <w:p w:rsidR="00000000" w:rsidRDefault="00E04542">
      <w:pPr>
        <w:jc w:val="center"/>
        <w:rPr>
          <w:i/>
          <w:iCs/>
        </w:rPr>
      </w:pPr>
      <w:r>
        <w:rPr>
          <w:i/>
          <w:iCs/>
        </w:rPr>
        <w:t>Таблица 6. СОСТОЯНИЕ ПРОТИВОДИФТЕРИЙНОГО ИММУНИТЕТА У ДЕТЕЙ, ЗАВЕРШИВШИХ ПЕРВИЧНЫЙ КУРС ВАКЦИНАЦИИ.</w:t>
      </w:r>
    </w:p>
    <w:tbl>
      <w:tblPr>
        <w:tblW w:w="0" w:type="auto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972"/>
        <w:gridCol w:w="2031"/>
        <w:gridCol w:w="966"/>
        <w:gridCol w:w="992"/>
        <w:gridCol w:w="993"/>
        <w:gridCol w:w="1275"/>
        <w:gridCol w:w="1134"/>
      </w:tblGrid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418" w:type="dxa"/>
          </w:tcPr>
          <w:p w:rsidR="00000000" w:rsidRDefault="00E04542">
            <w:pPr>
              <w:jc w:val="both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ПРЕПАРАТ</w:t>
            </w:r>
          </w:p>
        </w:tc>
        <w:tc>
          <w:tcPr>
            <w:tcW w:w="972" w:type="dxa"/>
          </w:tcPr>
          <w:p w:rsidR="00000000" w:rsidRDefault="00E04542">
            <w:pPr>
              <w:jc w:val="both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ЧИСЛО ДЕТЕЙ</w:t>
            </w:r>
          </w:p>
        </w:tc>
        <w:tc>
          <w:tcPr>
            <w:tcW w:w="2031" w:type="dxa"/>
          </w:tcPr>
          <w:p w:rsidR="00000000" w:rsidRDefault="00E04542">
            <w:pPr>
              <w:jc w:val="both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СРОК ПОСЛЕ ВАКЦИНАЦИИ</w:t>
            </w:r>
          </w:p>
        </w:tc>
        <w:tc>
          <w:tcPr>
            <w:tcW w:w="1958" w:type="dxa"/>
            <w:gridSpan w:val="2"/>
          </w:tcPr>
          <w:p w:rsidR="00000000" w:rsidRDefault="00E04542">
            <w:pPr>
              <w:jc w:val="both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ТИТР АНТИТЕЛ МЕНЕЕ 1:40 (РПГА) (&lt;0,1 МЕ/мл - ИФА)</w:t>
            </w:r>
          </w:p>
        </w:tc>
        <w:tc>
          <w:tcPr>
            <w:tcW w:w="2268" w:type="dxa"/>
            <w:gridSpan w:val="2"/>
          </w:tcPr>
          <w:p w:rsidR="00000000" w:rsidRDefault="00E04542">
            <w:pPr>
              <w:jc w:val="both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ПРОТИВ ДИФТЕРИИ БОЛЕЕ 1:40 (РПГА) (&gt;0,1 МЕ/мл - ИФА)</w:t>
            </w:r>
          </w:p>
        </w:tc>
        <w:tc>
          <w:tcPr>
            <w:tcW w:w="1134" w:type="dxa"/>
          </w:tcPr>
          <w:p w:rsidR="00000000" w:rsidRDefault="00E04542">
            <w:pPr>
              <w:jc w:val="both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СГТ 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</w:t>
            </w:r>
            <w:r>
              <w:rPr>
                <w:sz w:val="24"/>
                <w:szCs w:val="24"/>
              </w:rPr>
              <w:t>ДС</w:t>
            </w:r>
          </w:p>
        </w:tc>
        <w:tc>
          <w:tcPr>
            <w:tcW w:w="972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031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МЕНЬШЕ 5 ЛЕТ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66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5.1%</w:t>
            </w:r>
          </w:p>
        </w:tc>
        <w:tc>
          <w:tcPr>
            <w:tcW w:w="1134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1:2048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БОЛЬШЕ 5 ЛЕТ</w:t>
            </w:r>
          </w:p>
        </w:tc>
        <w:tc>
          <w:tcPr>
            <w:tcW w:w="966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23,8%</w:t>
            </w:r>
          </w:p>
        </w:tc>
        <w:tc>
          <w:tcPr>
            <w:tcW w:w="993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275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71.8%</w:t>
            </w:r>
          </w:p>
        </w:tc>
        <w:tc>
          <w:tcPr>
            <w:tcW w:w="1134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АДС-М</w:t>
            </w:r>
          </w:p>
        </w:tc>
        <w:tc>
          <w:tcPr>
            <w:tcW w:w="972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31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МЕНЬШЕ 5 ЛЕТ</w:t>
            </w:r>
          </w:p>
        </w:tc>
        <w:tc>
          <w:tcPr>
            <w:tcW w:w="966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6.7%</w:t>
            </w:r>
          </w:p>
        </w:tc>
        <w:tc>
          <w:tcPr>
            <w:tcW w:w="993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26.7%</w:t>
            </w:r>
          </w:p>
        </w:tc>
        <w:tc>
          <w:tcPr>
            <w:tcW w:w="1134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БОЛЬШЕ 5 ЛЕТ</w:t>
            </w:r>
          </w:p>
        </w:tc>
        <w:tc>
          <w:tcPr>
            <w:tcW w:w="966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993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26.7%</w:t>
            </w:r>
          </w:p>
        </w:tc>
        <w:tc>
          <w:tcPr>
            <w:tcW w:w="1134" w:type="dxa"/>
          </w:tcPr>
          <w:p w:rsidR="00000000" w:rsidRDefault="00E0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1:158</w:t>
            </w:r>
          </w:p>
        </w:tc>
      </w:tr>
    </w:tbl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Примечание: СГТАТ-средняя геометрическая титров антител</w:t>
      </w:r>
    </w:p>
    <w:p w:rsidR="00000000" w:rsidRDefault="00E04542">
      <w:pPr>
        <w:jc w:val="both"/>
        <w:rPr>
          <w:i/>
          <w:iCs/>
          <w:sz w:val="24"/>
          <w:szCs w:val="24"/>
          <w:u w:val="single"/>
        </w:rPr>
      </w:pPr>
    </w:p>
    <w:p w:rsidR="00000000" w:rsidRDefault="00E04542">
      <w:pPr>
        <w:jc w:val="both"/>
        <w:rPr>
          <w:i/>
          <w:iCs/>
          <w:sz w:val="24"/>
          <w:szCs w:val="24"/>
          <w:u w:val="single"/>
        </w:rPr>
      </w:pPr>
    </w:p>
    <w:p w:rsidR="00000000" w:rsidRDefault="00E0454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ПЕРВИЧНАЯ ИММУНИЗАЦИЯ ПРОТИВ ДИФТЕРИИ И </w:t>
      </w:r>
      <w:r>
        <w:rPr>
          <w:sz w:val="24"/>
          <w:szCs w:val="24"/>
        </w:rPr>
        <w:t>СТОЛБНЯКА ДЕТЕЙ, ИМЕЮЩИХ В АНАМНЕЗЕ СОЛИДНЫЕ ОПУХОЛИ.</w:t>
      </w:r>
    </w:p>
    <w:p w:rsidR="00000000" w:rsidRDefault="00E04542">
      <w:pPr>
        <w:jc w:val="both"/>
        <w:rPr>
          <w:sz w:val="24"/>
          <w:szCs w:val="24"/>
        </w:rPr>
      </w:pP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Из 120 обследованных нами детей, 14 детей до выявления онкологического заболевания не получали профилактических прививок. 5 из них редко болели респираторно-вирусными инфекциями и имели показатели клет</w:t>
      </w:r>
      <w:r>
        <w:rPr>
          <w:sz w:val="24"/>
          <w:szCs w:val="24"/>
        </w:rPr>
        <w:t>очно-гуморального иммунитета в пределах возрастной нормы, именно им мы начали проводить первичный курс иммунизации. Клинические диагнозы у этих детей были следующие: 1) нейробластома без первично выявленного очага с метастазами в лимфоузлы шеи (IV стадия з</w:t>
      </w:r>
      <w:r>
        <w:rPr>
          <w:sz w:val="24"/>
          <w:szCs w:val="24"/>
        </w:rPr>
        <w:t>локачественного новообразования); 2) нейробластома шеи (III стадия); 3) нейробластома забрюшинная (II стадия); 4) гранулематозная опухоль правого яичника (II стадия); 5) рабдомиосаркома полости малого таза, с поражением забрюшинных лимфоузлов (III стадия),</w:t>
      </w:r>
      <w:r>
        <w:rPr>
          <w:sz w:val="24"/>
          <w:szCs w:val="24"/>
        </w:rPr>
        <w:t xml:space="preserve"> цистаденома правого яичника. Остальным 9 детям по разным причинам иммунизация не проводилась.</w:t>
      </w: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У одного ребенка с гранулематозной опухолью яичника через 5 месяцев после второй вакцинации отмечалось нарастание уровней противодифтерийных и противостолбнячных</w:t>
      </w:r>
      <w:r>
        <w:rPr>
          <w:sz w:val="24"/>
          <w:szCs w:val="24"/>
        </w:rPr>
        <w:t xml:space="preserve"> антител до 1:640 и 1:1280 соответственно. Учитывая высокие титры специфических антител проведение ревакцинации было решено перенести на более поздние сроки. При исследовании через 11 месяцев отмечалось дальнейшее увеличение титров противодифтерийных и про</w:t>
      </w:r>
      <w:r>
        <w:rPr>
          <w:sz w:val="24"/>
          <w:szCs w:val="24"/>
        </w:rPr>
        <w:t>тивостолбнячных антител до 1:5120 и 1:10240 соответственно. В связи с этим проведение ревакцинации признано нецелесообразным.</w:t>
      </w: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У другого ребенка с рабдомиосаркомой малого таза после первой вакцинации не было нарастания титров противодифтерийных и противосто</w:t>
      </w:r>
      <w:r>
        <w:rPr>
          <w:sz w:val="24"/>
          <w:szCs w:val="24"/>
        </w:rPr>
        <w:t>лбнячных антител, через 1 месяц после второй вакцинации их уровень составлял 1:10 и 1:640 соответственно. В связи с тем, что в школе был случай дифтерии, а у ребенка был обнаружен низкий уровень антител, решено было сделать третью вакцинацию, через 1 месяц</w:t>
      </w:r>
      <w:r>
        <w:rPr>
          <w:sz w:val="24"/>
          <w:szCs w:val="24"/>
        </w:rPr>
        <w:t xml:space="preserve"> после третьей вакцинации отмечалось нарастание титров специфических антител против дифтерии и столбняка до 1:320 и 1:5120 соответственно. Контрольное исследование через 8 месяцев после третьей вакцинации выявило некоторое снижение специфического иммунитет</w:t>
      </w:r>
      <w:r>
        <w:rPr>
          <w:sz w:val="24"/>
          <w:szCs w:val="24"/>
        </w:rPr>
        <w:t>а до 1:160 - противодифтерийных и 1:1280 - противостолбнячных антител, значения были на достаточном уровне. В данном случае на фоне нормального количественного содержания иммунорегуляторных клеток, иммунный ответ на введение АДС-М анатоксина формировался з</w:t>
      </w:r>
      <w:r>
        <w:rPr>
          <w:sz w:val="24"/>
          <w:szCs w:val="24"/>
        </w:rPr>
        <w:t xml:space="preserve">амедленно, что может свидетельствовать о некоторой функциональной недостаточности иммунной системы; однако, следует отметить, что результатом иммунизации явилась выработка специфического иммунитета, достаточного для защиты ребенка от инфекций. </w:t>
      </w: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У 3-х наблю</w:t>
      </w:r>
      <w:r>
        <w:rPr>
          <w:sz w:val="24"/>
          <w:szCs w:val="24"/>
        </w:rPr>
        <w:t>давшихся нами первично привитых детей вакцинация не была продолжена по разным причинам: наличие отклонений показателей клеточного иммунитета; отказ от вакцинации по месту жительства ребенка в связи с невозможностью провести необходимые исследования показат</w:t>
      </w:r>
      <w:r>
        <w:rPr>
          <w:sz w:val="24"/>
          <w:szCs w:val="24"/>
        </w:rPr>
        <w:t>елей иммунитета; отказ от дальнейшей вакцинации 14-летнего подростка. У этих 3 детей мы не получили выраженного специфического иммунного ответа - антитела против дифтерии не достигли защитного уровня, противостолбнячные антитела у 2 детей, получивших 2 при</w:t>
      </w:r>
      <w:r>
        <w:rPr>
          <w:sz w:val="24"/>
          <w:szCs w:val="24"/>
        </w:rPr>
        <w:t xml:space="preserve">вивки определялись в защитных титрах (более 1:20). </w:t>
      </w: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Результаты, полученные нами при первичной вакцинации детей против дифтерии и столбняка, свидетельствуют о том, что АДС-М анатоксин хорошо переносится детьми, имеющими в анамнезе солидные опухоли; иммуниза</w:t>
      </w:r>
      <w:r>
        <w:rPr>
          <w:sz w:val="24"/>
          <w:szCs w:val="24"/>
        </w:rPr>
        <w:t>ция, проведенная в стадии длительной ремиссии (не менее 2 лет) не вызвала рецидива основного заболевания и метастазирования опухолевого процесса в течение периода наблюдения. Мы не смогли установить определенную закономерность изменений показателей клеточн</w:t>
      </w:r>
      <w:r>
        <w:rPr>
          <w:sz w:val="24"/>
          <w:szCs w:val="24"/>
        </w:rPr>
        <w:t>ого иммунитета у первично вакцинированных детей. Возможно, эти изменения зависят непосредственно от индивидуальной реактивности иммунной системы каждого ребенка.</w:t>
      </w:r>
    </w:p>
    <w:p w:rsidR="00000000" w:rsidRDefault="00E04542">
      <w:pPr>
        <w:jc w:val="both"/>
        <w:rPr>
          <w:i/>
          <w:iCs/>
          <w:sz w:val="24"/>
          <w:szCs w:val="24"/>
          <w:u w:val="single"/>
        </w:rPr>
      </w:pP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полученные результаты исследования показали на адекватный ответ на иммунизацию</w:t>
      </w:r>
      <w:r>
        <w:rPr>
          <w:sz w:val="24"/>
          <w:szCs w:val="24"/>
        </w:rPr>
        <w:t>, отсутствие нежелательного побочного действия вакцинации и отрицательного влияния на течение основного заболевания позволяют рекомендовать детям, имеющим в анамнезе солидные опухоли, иммунизацию против дифтерии и столбняка. Непременным условием является к</w:t>
      </w:r>
      <w:r>
        <w:rPr>
          <w:sz w:val="24"/>
          <w:szCs w:val="24"/>
        </w:rPr>
        <w:t>омплексное обследование каждого ребенка специалистом-онкологом для исключения рецидива и метастазирования опухолевого процесса; по показаниям проведение клинико-лабораторных и иммунологических исследований, в том числе изучения уровня специфических антител</w:t>
      </w:r>
      <w:r>
        <w:rPr>
          <w:sz w:val="24"/>
          <w:szCs w:val="24"/>
        </w:rPr>
        <w:t xml:space="preserve"> у детей, прививавшихся до выявления онкологического заболевания, - с целью выбора соответствующего профилактического препарата и тактики вакцинации. Необходима комплексная оценка состояния здоровья ребенка с учетом предрасположенности к заболеваниям, тяже</w:t>
      </w:r>
      <w:r>
        <w:rPr>
          <w:sz w:val="24"/>
          <w:szCs w:val="24"/>
        </w:rPr>
        <w:t>сти течения респираторных и других заболеваний.</w:t>
      </w:r>
    </w:p>
    <w:p w:rsidR="00000000" w:rsidRDefault="00E04542">
      <w:pPr>
        <w:jc w:val="both"/>
        <w:rPr>
          <w:i/>
          <w:iCs/>
          <w:sz w:val="24"/>
          <w:szCs w:val="24"/>
          <w:u w:val="single"/>
        </w:rPr>
      </w:pPr>
    </w:p>
    <w:p w:rsidR="00000000" w:rsidRDefault="00E04542">
      <w:pPr>
        <w:jc w:val="center"/>
        <w:rPr>
          <w:sz w:val="24"/>
          <w:szCs w:val="24"/>
        </w:rPr>
      </w:pPr>
      <w:r>
        <w:rPr>
          <w:sz w:val="24"/>
          <w:szCs w:val="24"/>
        </w:rPr>
        <w:t>ВЫВОДЫ.</w:t>
      </w:r>
    </w:p>
    <w:p w:rsidR="00000000" w:rsidRDefault="00E04542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1. У большинства детей, завершивших первичный курс иммунизации до выявления онкологического заболевания, на протяжении 5 лет и более сохраняются защитные уровни специфических антител против дифтерии </w:t>
      </w:r>
      <w:r>
        <w:rPr>
          <w:sz w:val="24"/>
          <w:szCs w:val="24"/>
        </w:rPr>
        <w:t>(72%) и столбняка (87%).</w:t>
      </w: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2. У детей, находящихся в стадии ремиссии солидных опухолей, наблюдается снижение относительного числа зрелых Т-лимфоцитов, абсолютного и относительного числа Т-супрессоров, а также В-лимфоцитов.</w:t>
      </w:r>
    </w:p>
    <w:p w:rsidR="00000000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Введение АДС-М анатоксина детям </w:t>
      </w:r>
      <w:r>
        <w:rPr>
          <w:sz w:val="24"/>
          <w:szCs w:val="24"/>
        </w:rPr>
        <w:t xml:space="preserve">в стадии длительной ремиссии злокачественного новообразования, не вызывает рецидива онкологического заболевания и метастазирования опухолевого процесса в пределах периода наблюдения (1-2года). </w:t>
      </w:r>
    </w:p>
    <w:p w:rsidR="00E04542" w:rsidRDefault="00E04542">
      <w:pPr>
        <w:jc w:val="both"/>
        <w:rPr>
          <w:sz w:val="24"/>
          <w:szCs w:val="24"/>
        </w:rPr>
      </w:pPr>
      <w:r>
        <w:rPr>
          <w:sz w:val="24"/>
          <w:szCs w:val="24"/>
        </w:rPr>
        <w:t>4. Ревакцинация АДС-М анатоксином детей, имеющих в анамнезе со</w:t>
      </w:r>
      <w:r>
        <w:rPr>
          <w:sz w:val="24"/>
          <w:szCs w:val="24"/>
        </w:rPr>
        <w:t>лидные опухоли, вызывает формирование антител против дифтерии и столбняка в защитных титрах.</w:t>
      </w:r>
    </w:p>
    <w:sectPr w:rsidR="00E04542">
      <w:footerReference w:type="default" r:id="rId6"/>
      <w:pgSz w:w="11907" w:h="16840" w:code="9"/>
      <w:pgMar w:top="1276" w:right="1418" w:bottom="1418" w:left="1276" w:header="680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542" w:rsidRDefault="00E04542">
      <w:r>
        <w:separator/>
      </w:r>
    </w:p>
  </w:endnote>
  <w:endnote w:type="continuationSeparator" w:id="0">
    <w:p w:rsidR="00E04542" w:rsidRDefault="00E0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04542">
    <w:pPr>
      <w:pStyle w:val="a4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4A00">
      <w:rPr>
        <w:rStyle w:val="a8"/>
        <w:noProof/>
      </w:rPr>
      <w:t>1</w:t>
    </w:r>
    <w:r>
      <w:rPr>
        <w:rStyle w:val="a8"/>
      </w:rPr>
      <w:fldChar w:fldCharType="end"/>
    </w:r>
  </w:p>
  <w:p w:rsidR="00000000" w:rsidRDefault="00E0454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542" w:rsidRDefault="00E04542">
      <w:r>
        <w:separator/>
      </w:r>
    </w:p>
  </w:footnote>
  <w:footnote w:type="continuationSeparator" w:id="0">
    <w:p w:rsidR="00E04542" w:rsidRDefault="00E04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00"/>
    <w:rsid w:val="00874A00"/>
    <w:rsid w:val="00E0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DAC755-5A78-405F-A967-0ABE1E20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çàãîëîâîê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styleId="a3">
    <w:name w:val="List"/>
    <w:basedOn w:val="a"/>
    <w:uiPriority w:val="99"/>
    <w:pPr>
      <w:ind w:left="283" w:hanging="283"/>
    </w:pPr>
  </w:style>
  <w:style w:type="paragraph" w:styleId="a4">
    <w:name w:val="footer"/>
    <w:basedOn w:val="a"/>
    <w:link w:val="a5"/>
    <w:uiPriority w:val="99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8">
    <w:name w:val="íîìåð ñòðàíèöû"/>
    <w:basedOn w:val="a0"/>
    <w:uiPriority w:val="99"/>
  </w:style>
  <w:style w:type="paragraph" w:styleId="a9">
    <w:name w:val="header"/>
    <w:basedOn w:val="a"/>
    <w:link w:val="aa"/>
    <w:uiPriority w:val="99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4470</Words>
  <Characters>25479</Characters>
  <Application>Microsoft Office Word</Application>
  <DocSecurity>0</DocSecurity>
  <Lines>212</Lines>
  <Paragraphs>59</Paragraphs>
  <ScaleCrop>false</ScaleCrop>
  <Company>Student BBS</Company>
  <LinksUpToDate>false</LinksUpToDate>
  <CharactersWithSpaces>29890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Â êîíöå ÕÕ âåêà íåò íåîáõîäèìîñòè îáñóæäàòü çíà÷åíèå èììóíîïðîôèëàêòèêè èíôåêöèîííûõ áîëåçíåé, ýôôåêòèâíîñòü èììóíîïðîôèëàêòèêè íàãëÿäíî ïðîäåìîíñòðèðîâàíà äåñÿòêàìè ëåò åå ïðàêòè÷åñêîãî ïðèìåíåíèÿ.</dc:title>
  <dc:subject/>
  <dc:creator>é</dc:creator>
  <cp:keywords/>
  <dc:description/>
  <cp:lastModifiedBy>Igor Trofimov</cp:lastModifiedBy>
  <cp:revision>2</cp:revision>
  <dcterms:created xsi:type="dcterms:W3CDTF">2024-10-06T17:32:00Z</dcterms:created>
  <dcterms:modified xsi:type="dcterms:W3CDTF">2024-10-06T17:32:00Z</dcterms:modified>
</cp:coreProperties>
</file>