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221567024"/>
      </w:sdtPr>
      <w:sdtContent>
        <w:p>
          <w:pPr>
            <w:pStyle w:val="TOCHeading"/>
            <w:spacing w:lineRule="auto" w:line="360" w:before="0" w:after="160"/>
            <w:jc w:val="both"/>
            <w:rPr/>
          </w:pPr>
          <w:r>
            <w:rPr/>
          </w:r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eastAsia="" w:eastAsiaTheme="minorEastAsia"/>
              <w:sz w:val="24"/>
              <w:szCs w:val="24"/>
              <w:lang w:eastAsia="ru-RU"/>
            </w:rPr>
          </w:pPr>
          <w:r>
            <w:fldChar w:fldCharType="begin"/>
          </w:r>
          <w:r>
            <w:rPr>
              <w:webHidden/>
              <w:rStyle w:val="Style20"/>
              <w:b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rStyle w:val="Style20"/>
              <w:b/>
              <w:rFonts w:cs="Times New Roman" w:ascii="Times New Roman" w:hAnsi="Times New Roman"/>
            </w:rPr>
            <w:fldChar w:fldCharType="separate"/>
          </w:r>
          <w:hyperlink w:anchor="_Toc37926441">
            <w:r>
              <w:rPr>
                <w:webHidden/>
                <w:rStyle w:val="Style20"/>
                <w:rFonts w:cs="Times New Roman" w:ascii="Times New Roman" w:hAnsi="Times New Roman"/>
                <w:b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_Toc37926441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9345" w:leader="dot"/>
            </w:tabs>
            <w:rPr>
              <w:rFonts w:eastAsia="" w:eastAsiaTheme="minorEastAsia"/>
              <w:sz w:val="24"/>
              <w:szCs w:val="24"/>
              <w:lang w:eastAsia="ru-RU"/>
            </w:rPr>
          </w:pPr>
          <w:hyperlink w:anchor="_Toc37926442">
            <w:r>
              <w:rPr>
                <w:webHidden/>
                <w:rStyle w:val="Style20"/>
                <w:rFonts w:cs="Times New Roman" w:ascii="Times New Roman" w:hAnsi="Times New Roman"/>
                <w:b/>
              </w:rPr>
              <w:t>1.</w:t>
            </w:r>
            <w:r>
              <w:rPr>
                <w:rStyle w:val="Style20"/>
                <w:rFonts w:eastAsia="" w:eastAsiaTheme="minorEastAsia"/>
                <w:sz w:val="24"/>
                <w:szCs w:val="24"/>
                <w:lang w:eastAsia="ru-RU"/>
              </w:rPr>
              <w:tab/>
            </w:r>
            <w:r>
              <w:rPr>
                <w:rStyle w:val="Style20"/>
                <w:rFonts w:cs="Times New Roman" w:ascii="Times New Roman" w:hAnsi="Times New Roman"/>
                <w:b/>
              </w:rPr>
              <w:t>Эпидемиология ВИЧ-инфекции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_Toc37926442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eastAsia="" w:eastAsiaTheme="minorEastAsia"/>
              <w:sz w:val="24"/>
              <w:szCs w:val="24"/>
              <w:lang w:eastAsia="ru-RU"/>
            </w:rPr>
          </w:pPr>
          <w:hyperlink w:anchor="_Toc37926443">
            <w:r>
              <w:rPr>
                <w:webHidden/>
                <w:rStyle w:val="Style20"/>
                <w:rFonts w:cs="Times New Roman" w:ascii="Times New Roman" w:hAnsi="Times New Roman"/>
                <w:b/>
              </w:rPr>
              <w:t>2. Профилактика в условиях генерализованной эпидемии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_Toc37926443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eastAsia="" w:eastAsiaTheme="minorEastAsia"/>
              <w:sz w:val="24"/>
              <w:szCs w:val="24"/>
              <w:lang w:eastAsia="ru-RU"/>
            </w:rPr>
          </w:pPr>
          <w:hyperlink w:anchor="_Toc37926444">
            <w:r>
              <w:rPr>
                <w:webHidden/>
                <w:rStyle w:val="Style20"/>
                <w:rFonts w:cs="Times New Roman" w:ascii="Times New Roman" w:hAnsi="Times New Roman"/>
                <w:b/>
              </w:rPr>
              <w:t>ЗАКЛЮЧЕНИЕ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_Toc37926444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eastAsia="" w:eastAsiaTheme="minorEastAsia"/>
              <w:sz w:val="24"/>
              <w:szCs w:val="24"/>
              <w:lang w:eastAsia="ru-RU"/>
            </w:rPr>
          </w:pPr>
          <w:hyperlink w:anchor="_Toc37926445">
            <w:r>
              <w:rPr>
                <w:webHidden/>
                <w:rStyle w:val="Style20"/>
                <w:rFonts w:cs="Times New Roman" w:ascii="Times New Roman" w:hAnsi="Times New Roman"/>
                <w:b/>
              </w:rPr>
              <w:t>СПИСОК ИСПОЛЬЗОВАННОЙ ЛИТЕРАТУРЫ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_Toc37926445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 w:before="0"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0" w:name="_Toc37926441"/>
      <w:r>
        <w:rPr>
          <w:rFonts w:cs="Times New Roman" w:ascii="Times New Roman" w:hAnsi="Times New Roman"/>
          <w:b/>
          <w:color w:val="auto"/>
          <w:sz w:val="28"/>
          <w:szCs w:val="28"/>
        </w:rPr>
        <w:t>Введение</w:t>
      </w:r>
      <w:bookmarkEnd w:id="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489_3584014076"/>
      <w:r>
        <w:rPr>
          <w:rFonts w:cs="Times New Roman" w:ascii="Times New Roman" w:hAnsi="Times New Roman"/>
          <w:sz w:val="28"/>
          <w:szCs w:val="28"/>
        </w:rPr>
        <w:t>ВИЧ-инфекция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– инфекционное заболевание, этиологическим фактором которого является вирус иммунодефицита человека, обладающий тропностью к CD4+ клеткам. Распространенность заболевания среди населения различных стран составляет от менее 0,1% до более 15-20% в отдельных регионах Южной Африки. Россия по показателям заболеваемости по-прежнему лидирует среди стран восточной Европы и Центральной Азии.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эпидемиологических и клинических характеристик заболевания практикующими врачами позволяет увеличить эффективность ранней диагностики инфекции, своевременно назначив обоснованное лабораторное тестирование.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Использование современных схем этиотропной терапии, в том числе назначение HAART (highlyactiveanti-retroviraltherapy – высокоэффективная антиретровирусная терапия), дает возможность повысить эффективность лечения и снизить смертность от ВИЧ-инфекции, существенно уменьшить токсичность препаратов и предотвратить появление резистентных штаммов вируса.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антиретровирусные средства широко и эффективно используются для профилактики вертикальной передачи ВИЧ-инфекции, парентерального и полового заражения вирусом.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распространения ВИЧ-инфекции определена как одна из ключевыхсфер в Национальной программе профилактики ВИЧ-инфекции, помощи илечения ВИЧ-инфицированных и больных СПИДОМ.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2" w:name="_Toc37926442"/>
      <w:r>
        <w:rPr>
          <w:rFonts w:cs="Times New Roman" w:ascii="Times New Roman" w:hAnsi="Times New Roman"/>
          <w:b/>
          <w:color w:val="auto"/>
          <w:sz w:val="28"/>
          <w:szCs w:val="28"/>
        </w:rPr>
        <w:t>Эпидемиология ВИЧ-инфекции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ВИЧ-инфекция – антропонозная медленная вирусная инфекция, вызываемая вирусом иммунодефицита человека, который обладает тропностью к CD4+ клеткам и обусловливает прогрессирующую деструкцию иммунной системы с бурным клиническим манифестным финишем и летальным исходом</w:t>
      </w:r>
      <w:r>
        <w:rPr>
          <w:rStyle w:val="FootnoteCharacters"/>
          <w:rStyle w:val="Style17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Первые случаи заболевания, проявившегося тяжелым течением пневмоцистной пневмонии, элементами саркомы Капоши, кандидозом слизистых, были описаны 5 июня 1981 г. сотрудниками Центра по контролю и профилактике болезней США (CDC). Американский иммунолог M.Gotliеb установил зависимость описанного заболевания от прогрессирующего поражения иммунной системы и впервые в 1981 г. сформулировал синдромный диагноз: AcquiredImmunodeficiencySyndrome – AIDS (синдром приобретенного иммунодефицита – СПИД). Несколько позже стало очевидным, что СПИД является лишь последней, терминальной стадией болезни. Заболевание в целом – от момента инфицирования до летального исхода – получило название ВИЧ-инфекции.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Возбудитель инфекции был выделен в 1983 г. в 2-х лабораториях – группой ученых под руководством L. Montagnier (Институт Пастера, Франция) и коллективом исследователей во главе с R. Gallo (Национальный институт рака, США). Причем, как оказалось, французский изолят, обозначенный как LymfadenopathyAssociatedVirus (LAV), был идентичен американскому (Human T-cellLeukemiaVirus– HTLV-III). В 1986 году выделенный возбудитель получил название HumanImmunodeficiencyVirus (HIV) – вирус иммунодефицита человека (ВИЧ)</w:t>
      </w:r>
      <w:r>
        <w:rPr>
          <w:rStyle w:val="FootnoteCharacters"/>
          <w:rStyle w:val="Style17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 В этом же 1986 году у пациентов из Западной Африки, госпитализированных в клинику г.Лиссабон, специалистами лаборатории L.Montagnier в сотрудничестве с португальскими коллегами был идентифицирован новый вариант вируса, который впоследствии был наименован ВИЧ-2.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Пандемия ВИЧ-инфекции, распространившаяся по всем континентам, продолжает оставаться угрожающей для человечества трагедией. Распространенность заболевания среди населения различных стран составляет от менее 0,1 % (Египет, Монголия и др.) до более 15-20 % (регионы Южной Африки). По данным 2014 г. Украина продолжает демонстрировать самый высокий оценочный показатель заболеваемости ВИЧ-инфекцией в восточной Европе и Центральной Азии ‒ 0,62% населения в возрасте 15-49 лет</w:t>
      </w:r>
      <w:r>
        <w:rPr>
          <w:rStyle w:val="FootnoteCharacters"/>
          <w:rStyle w:val="Style17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Источником вируса является больной ВИЧ-инфекцией. Считается, что восприимчивость составляет 100 %. Эпидемическое значение имеют половой (гетеро- и гомосексуальные контакты), парентеральный (употребление инъекционных наркотиков, гемотрансфузии, посредством инфицированного колюще-режущего инструментария и т.д.) и вертикальный (трансплацентарно, перинатально и постнатально) пути передачи. Факторами передачи являются кровь, семенная жидкость, вагинальный секрет, грудное молоко. Вирус обнаруживается в любых других биологических жидкостях организма больного, в том числе слюне, моче, слезе, потовых выделениях и т.д. Однако вследствие низких в них концентраций вириона они не представляют эпидемической опасности, если не содержат видимые невооруженным глазом включения крови. Следует отметить, что ВИЧ неустойчив во внешней среде – инактивируется при нагревании до 56оС за 30 минут, до 100оС за 1 минуту или обработкой дезинфицирующими средствами (70% этиловый спирт, 0,2% раствор гипохлорита натрия, 3% раствор перекиси водорода и др.).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фактором, влияющим на риск передачи вируса со стороны источника инфекции, является концентрация вируса в его биологических жидкостях. ВИЧ-инфицированный может быть источником заражения в любую стадию инфекционного процесса, однако, наибольшую опасность он представляет в стадию острой ВИЧ-инфекции и стадию СПИД, когда обнаруживаются максимальные показатели репликативной активности вируса. Со стороны подвергающегося инфицированию вероятность заражения зависит от целостности и защитных свойств слизистых и кожных покровов, интенсивности экспозиции, состояния иммунной системы, генетических особенностей.</w:t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sz w:val="28"/>
          <w:szCs w:val="28"/>
        </w:rPr>
      </w:r>
      <w:r>
        <w:br w:type="page"/>
      </w:r>
    </w:p>
    <w:p>
      <w:pPr>
        <w:pStyle w:val="1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3" w:name="_Toc37926443"/>
      <w:r>
        <w:rPr>
          <w:rFonts w:cs="Times New Roman" w:ascii="Times New Roman" w:hAnsi="Times New Roman"/>
          <w:b/>
          <w:color w:val="auto"/>
          <w:sz w:val="28"/>
          <w:szCs w:val="28"/>
        </w:rPr>
        <w:t>2. Профилактика в условиях генерализованной эпидемии</w:t>
      </w:r>
      <w:bookmarkEnd w:id="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выявленные ВИЧ-инфицированные лица подлежат диспансерному наблюдению, основными принципами которого являются добровольность, конфиденциальность и доступность медицинской помощи. Диспансеризация предполагает пожизненное наблюдение за больными и означает проведение комплекса лечебно- профилактических, социально-психологических и гигиенических мероприятий. Лечебно-профилактические мероприятия включают динамичное клиническое наблюдение больных и проведение им с определенной частотой клинико-лабораторных и других дополнительных исследований, ключевую роль среди которых имеет определение уровня CD4+ лимфоцитов и вирусной нагрузки. Основной целью диспансерного наблюдения является раннее выявление признаков прогрессирования заболевания для своевременного назначения антиретровирусной этиотропной терапии, а также профилактика и лечение оппортунистических инфекций, других патологических процессов у ВИЧ-инфицированного больного</w:t>
      </w:r>
      <w:r>
        <w:rPr>
          <w:rStyle w:val="FootnoteCharacters"/>
          <w:rStyle w:val="Style17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ВИЧ-инфекции рассматривается как система мер медицинского и немедицинского характера, которая направлена на предупреждение, снижение риска развития отклонений от нормы в состоянии здоровья, предотвращение или замедление прогрессирования заболеваний, уменьшение их неблагоприятных последствий.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Личный риск инфицирования ВИЧ требует индивидуальной профилактики, групповой риск – профилактики в уязвимых группах, популяционный риск – общественной/популяционной профилактики. Популяционный уровень профилактики, как правило, не ограничивается медицинскими мероприятиями. Это и государственные программы профилактики или массовые кампании, направленные на укрепление здоровья и профилактику заболеваний.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Уровни профилактики ВИЧ-инфекции: первичная, вторичная, третичная.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Первичная профилактика ВИЧ-инфекции предполагает социальные мероприятия (государственного характера), направленные на снижение уровня влияния факторов, способствующих инфицированию; информирование населения; разработку и внедрение образовательных программ по профилактике ВИЧ/СПИД, которые направлены на формирование здорового образа жизни и адаптированы для разных социально-возрастных групп населения.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Вторичная профилактика ВИЧ-инфекции включает раннее выявление, тестирование и консультирование при ВИЧ-инфекции, обеспечение доступности комплексного обследования и оказания квалифицированной психологической, медицинской и социальной помощи и предусматривает ориентацию на безопасное поведение.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Третичная профилактика ВИЧ-инфекции – это диспансерное наблюдение за ВИЧ-инфицированными до и после назначения АРВТ, своевременное предоставление высокоактивной антиретровирусной терапии, в том числе ПИН; соблюдение режима лечения, обеспечение приверженности АРВ-терапии. Этот уровень предусматривает изменение поведения, направленного на укрепление здоровья и отказ от рискованного поведения</w:t>
      </w:r>
      <w:r>
        <w:rPr>
          <w:rStyle w:val="FootnoteCharacters"/>
          <w:rStyle w:val="Style17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ВИЧ-инфекции остается критически важной и приоритетной задачей, особенно в связи с нарастающей успокоенностью в связи с появлением более эффективных схем лечения ВИЧ инфекции. Наиболее эффективными из имеющихся стратегий профилактики ВИЧ-инфекции являются консультирование, проведение анализа на ВИЧ, вмешательства с целью коррекции поведения для снижения риска и использование презервативов.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направлениями профилактики ВИЧ-инфекции являются:предупреждение половой передачи ВИЧ, включающее такие элементы, как обучение безопасному половому поведению, лечение (других) болезней, передающихся половым путем, обучение поведению, направленному на сознательное лечение этих болезней;предупреждение распространения ВИЧ-инфекции среди лиц, употребляющих наркотики инъекционно, путем формирования у них навыков более безопасного поведения, обучения способам защиты от ВИЧ-инфекции (чистыми шприцами, дезинфектантами, презервативами);предупреждение перинатальной передачи ВИЧ методами распространения информации о предупреждении передачи ВИЧ, перинатальной передаче и планировании семьи, обеспечения медицинской помощи, включая консультирование, женщинам, которые инфицированы ВИЧ;предупреждение передачи ВИЧ через кровь методами снабжения безопасными кровепродуктами, обеспечения асептических условий при инвазивной, нарушающей кожную целостность, хирургической и стоматологической практике;организация медицинской помощи и социальной поддержки больным ВИЧ-инфекцией, их семьям и окружающим.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Особого внимания заслуживает вопрос о разработке вакцин для профилактики ВИЧ-инфекции. Поиски вакцин против СПИДа ведутся по нескольким направлениям и экспериментальные препараты разработаны. Однако однозначно позитивных результатов к настоящему времени не опубликовано и получение вакцин, пригодных для практического применения, связано с решением многих сложных задач, обусловленных высокой степенью антигенной изменчивости ВИЧ, отсутствием доступных моделей животных для испытания вакцин, определением значения антител в специфической защите от ВИЧ и др.</w:t>
      </w:r>
    </w:p>
    <w:p>
      <w:pPr>
        <w:pStyle w:val="1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4" w:name="_Toc37926444"/>
      <w:r>
        <w:rPr>
          <w:rFonts w:cs="Times New Roman" w:ascii="Times New Roman" w:hAnsi="Times New Roman"/>
          <w:b/>
          <w:color w:val="auto"/>
          <w:sz w:val="28"/>
          <w:szCs w:val="28"/>
        </w:rPr>
        <w:t>ЗАКЛЮЧЕНИЕ</w:t>
      </w:r>
      <w:bookmarkEnd w:id="4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ВИЧ остается одной из основных глобальных проблем: на сегодняшний день болезнь унесла более 35 миллионов человеческих жизней. За данными Всемирной организации здравоохранения и ЮНЭЙДС, в мире живет с ВИЧ-инфекцией около 37 миллионов человек.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условиях перестройки системы общественного здравоохранения приоритетными шагами в борьбе с эпидемией ВИЧ-инфекции в стране остаются: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обеспечение равного доступа к консультированию и тестированию на ВИЧ общего населения и представителей групп риска относительно инфицирования ВИЧ,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своевременный охват ВИЧ-инфицированных лиц услугами по уходу и поддержке, антиретровирусным лечением,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предупреждение новых случаев инфицирования ВИЧ.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 получила большой опыт во внедрении многих проектов, которые работают над решением вопросов национального ответа на эпидемию ВИЧ-инфекции/Спида в различных частях страны. Хотя эта деятельность преимущественно финансируется донорскими организациями, исполнителями мероприятий по профилактике, диагностике, лечения, защиты ЛЖВ являются российские специалисты и волонтеры.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Конечные цели борьбы с ВИЧ/Спидом во всем мире предусматривают два аспекта: уменьшить количество людей инфицированных ВИЧ (профилактика) и максимально расширить доступ к эффективному лечению и поддержке людей, живущих с ВИЧ (лечение).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точки зрения профилактики, уроки многих профилактических программ среди различных уязвимых групп населения теперь можно применять более широко.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точки зрения лечения, надо увеличить комплексное лечение, включая заместительную и антиретровирусную терапию.</w:t>
      </w:r>
    </w:p>
    <w:p>
      <w:pPr>
        <w:pStyle w:val="1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5" w:name="_Toc37926445"/>
      <w:r>
        <w:rPr>
          <w:rFonts w:cs="Times New Roman" w:ascii="Times New Roman" w:hAnsi="Times New Roman"/>
          <w:b/>
          <w:color w:val="auto"/>
          <w:sz w:val="28"/>
          <w:szCs w:val="28"/>
        </w:rPr>
        <w:t>СПИСОК ИСПОЛЬЗОВАННОЙ ЛИТЕРАТУРЫ</w:t>
      </w:r>
      <w:bookmarkEnd w:id="5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Беляева В.В. Консультирование при ВИЧ-инфекции / В.В. Беляева, В.В. Покровский, А.В. Кравченко // Министерство здравоохранения Российской Федерации. Пособие для врачей различных специальностей. – М.: Высь, 2016. – 146 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Белякова Н.А. ВИЧ-инфекция. Руководство для врачей / под редакцией Н.А. Белякова, А.Г. Рахманово – Спб.: Росток, 2017. – 750 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Евстигнеев И.В. Лабораторные методы диагностики острой, ранней и текущей ВИЧ-инфекции / И.В. Евстигнеев // Клиническая иммунология, Аллергология, Инфектология. – 2019. –№4. – С.34-40.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Иоанниди Е. А. ВИЧ-инфекция: проблемы некоторых важнейших оппортунистических инфекций: учебно-методическое пособие / Е. А. Иоанниди, И. В. Макарова. – Волгоград: Изд-во ВолГАУ, 2014. – 42 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Леви Д.Э. ВИЧ и патогенез СПИДа / Д.Э. Леви. – М.: Научный мир, 2016. – 736 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Кравченко А.В. Применение «усиленных» ингибиторов протеазы ВИЧ – новое направление в антиретровирусной терапии/ А.В. Кравченко // 2 Российская научно-практическая конференция по вопросам ВИЧ-инфекции и парентеральных гепатитов. – Суздаль, 1-3 октября 2012. – С. 128-130.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Миддван Д. Атлас по ВИЧ-инфекции и СПИДу / Д. Милдван //: пер. с англ. – М.: ИНФРА-М, 2010. – 800с.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160"/>
        <w:ind w:left="0" w:firstLine="709"/>
        <w:jc w:val="both"/>
        <w:rPr/>
      </w:pPr>
      <w:r>
        <w:rPr>
          <w:sz w:val="28"/>
          <w:szCs w:val="28"/>
        </w:rPr>
        <w:t>Ющук Н. Д. Лекции по инфекционным болезням. – 3-е изд., перераб. и доп. / Н.Д.Ющук, Ю.Я.Венгеров. – М.: ОАО Медицина. – 2017. – 1032 с.</w:t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850" w:header="0" w:top="1134" w:footer="708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5619022"/>
    </w:sdtPr>
    <w:sdtContent>
      <w:p>
        <w:pPr>
          <w:pStyle w:val="Style3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11</w:t>
        </w:r>
        <w:r>
          <w:rPr>
            <w:rStyle w:val="Pagenumber"/>
          </w:rPr>
          <w:fldChar w:fldCharType="end"/>
        </w:r>
      </w:p>
    </w:sdtContent>
  </w:sdt>
  <w:p>
    <w:pPr>
      <w:pStyle w:val="Style30"/>
      <w:ind w:right="360" w:hanging="0"/>
      <w:jc w:val="center"/>
      <w:rPr/>
    </w:pPr>
    <w:r>
      <w:rPr/>
    </w:r>
  </w:p>
  <w:p>
    <w:pPr>
      <w:pStyle w:val="Style3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1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24"/>
          <w:szCs w:val="24"/>
        </w:rPr>
        <w:t>Миддван Д. Атлас по ВИЧ-инфекции и СПИДу / Д. Милдван//: пер. с англ. – М., 2010. – с.54</w:t>
      </w:r>
    </w:p>
  </w:footnote>
  <w:footnote w:id="3">
    <w:p>
      <w:pPr>
        <w:pStyle w:val="Style31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24"/>
          <w:szCs w:val="24"/>
        </w:rPr>
        <w:t>Беляева В.В. Консультирование при ВИЧ-инфекции/В.В. Беляева, В.В. Покровский, А.В. Кравченко//Министерство здравоохранения Российской Федерации. Пособие для врачей различных специальностей. – М, 2003. – С. 27</w:t>
      </w:r>
    </w:p>
  </w:footnote>
  <w:footnote w:id="4">
    <w:p>
      <w:pPr>
        <w:pStyle w:val="Style31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24"/>
          <w:szCs w:val="24"/>
        </w:rPr>
        <w:t>Евстигнеев И.В. Лабораторные методы диагностики острой, ранней и текущей ВИЧ-инфекции/ И.В. Евстигнеев// Клиническая иммунология, Аллергология, Инфектология.–2012.–№4.–</w:t>
      </w:r>
      <w:r>
        <w:rPr>
          <w:sz w:val="24"/>
          <w:szCs w:val="24"/>
        </w:rPr>
        <w:t xml:space="preserve"> С</w:t>
      </w:r>
      <w:r>
        <w:rPr>
          <w:rFonts w:cs="Times New Roman" w:ascii="Times New Roman" w:hAnsi="Times New Roman"/>
          <w:sz w:val="24"/>
          <w:szCs w:val="24"/>
        </w:rPr>
        <w:t>.34</w:t>
      </w:r>
    </w:p>
  </w:footnote>
  <w:footnote w:id="5">
    <w:p>
      <w:pPr>
        <w:pStyle w:val="Style31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24"/>
          <w:szCs w:val="24"/>
        </w:rPr>
        <w:t>Беляева В.В. Консультирование при ВИЧ-инфекции/В.В. Беляева, В.В. Покровский, А.В. Кравченко//Министерство здравоохранения Российской Федерации. Пособие для врачей различных специальностей. – М, 2003. – С. 29</w:t>
      </w:r>
    </w:p>
  </w:footnote>
  <w:footnote w:id="6">
    <w:p>
      <w:pPr>
        <w:pStyle w:val="Style31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24"/>
          <w:szCs w:val="24"/>
        </w:rPr>
        <w:t>Евстигнеев И.В. Лабораторные методы диагностики острой, ранней и текущей ВИЧ-инфекции/ И.В. Евстигнеев// Клиническая иммунология, Аллергология, Инфектология.–2012.–№4.–</w:t>
      </w:r>
      <w:r>
        <w:rPr>
          <w:sz w:val="24"/>
          <w:szCs w:val="24"/>
        </w:rPr>
        <w:t xml:space="preserve"> С</w:t>
      </w:r>
      <w:r>
        <w:rPr>
          <w:rFonts w:cs="Times New Roman" w:ascii="Times New Roman" w:hAnsi="Times New Roman"/>
          <w:sz w:val="24"/>
          <w:szCs w:val="24"/>
        </w:rPr>
        <w:t>.35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68f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0a65c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a65c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5d5f4b"/>
    <w:rPr>
      <w:rFonts w:ascii="Times New Roman" w:hAnsi="Times New Roman" w:eastAsia="Times New Roman" w:cs="Times New Roman"/>
      <w:lang w:val="en-US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5d5f4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5d5f4b"/>
    <w:rPr/>
  </w:style>
  <w:style w:type="character" w:styleId="Style16" w:customStyle="1">
    <w:name w:val="Текст сноски Знак"/>
    <w:basedOn w:val="DefaultParagraphFont"/>
    <w:link w:val="aa"/>
    <w:uiPriority w:val="99"/>
    <w:semiHidden/>
    <w:qFormat/>
    <w:rsid w:val="00f12be9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2be9"/>
    <w:rPr>
      <w:vertAlign w:val="superscript"/>
    </w:rPr>
  </w:style>
  <w:style w:type="character" w:styleId="Style18">
    <w:name w:val="Интернет-ссылка"/>
    <w:basedOn w:val="DefaultParagraphFont"/>
    <w:uiPriority w:val="99"/>
    <w:unhideWhenUsed/>
    <w:rsid w:val="00f12be9"/>
    <w:rPr>
      <w:color w:val="0563C1" w:themeColor="hyperlink"/>
      <w:u w:val="single"/>
    </w:rPr>
  </w:style>
  <w:style w:type="character" w:styleId="Style19" w:customStyle="1">
    <w:name w:val="Текст выноски Знак"/>
    <w:basedOn w:val="DefaultParagraphFont"/>
    <w:link w:val="af"/>
    <w:uiPriority w:val="99"/>
    <w:semiHidden/>
    <w:qFormat/>
    <w:rsid w:val="00ac74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qFormat/>
    <w:rsid w:val="00066713"/>
    <w:rPr/>
  </w:style>
  <w:style w:type="character" w:styleId="ListLabel1">
    <w:name w:val="ListLabel 1"/>
    <w:qFormat/>
    <w:rPr>
      <w:rFonts w:eastAsia="Symbol" w:cs="Symbol"/>
      <w:w w:val="100"/>
      <w:sz w:val="28"/>
      <w:szCs w:val="28"/>
      <w:lang w:val="ru-RU" w:eastAsia="ru-RU" w:bidi="ru-RU"/>
    </w:rPr>
  </w:style>
  <w:style w:type="character" w:styleId="ListLabel2">
    <w:name w:val="ListLabel 2"/>
    <w:qFormat/>
    <w:rPr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i/>
      <w:spacing w:val="-6"/>
      <w:w w:val="100"/>
      <w:sz w:val="20"/>
      <w:szCs w:val="20"/>
    </w:rPr>
  </w:style>
  <w:style w:type="character" w:styleId="Style20">
    <w:name w:val="Ссылка указателя"/>
    <w:qFormat/>
    <w:rPr/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uiPriority w:val="1"/>
    <w:qFormat/>
    <w:rsid w:val="005d5f4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/>
    </w:rPr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Header"/>
    <w:basedOn w:val="Normal"/>
    <w:link w:val="a6"/>
    <w:uiPriority w:val="99"/>
    <w:unhideWhenUsed/>
    <w:rsid w:val="005d5f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8"/>
    <w:uiPriority w:val="99"/>
    <w:unhideWhenUsed/>
    <w:rsid w:val="005d5f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8f18b1"/>
    <w:pPr>
      <w:widowControl w:val="false"/>
      <w:spacing w:lineRule="auto" w:line="240" w:before="160" w:after="0"/>
      <w:ind w:left="552" w:hanging="305"/>
    </w:pPr>
    <w:rPr>
      <w:rFonts w:ascii="Times New Roman" w:hAnsi="Times New Roman" w:eastAsia="Times New Roman" w:cs="Times New Roman"/>
      <w:lang w:eastAsia="ru-RU" w:bidi="ru-RU"/>
    </w:rPr>
  </w:style>
  <w:style w:type="paragraph" w:styleId="Style31">
    <w:name w:val="Footnote Text"/>
    <w:basedOn w:val="Normal"/>
    <w:link w:val="ab"/>
    <w:uiPriority w:val="99"/>
    <w:semiHidden/>
    <w:unhideWhenUsed/>
    <w:rsid w:val="00f12be9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1"/>
    <w:next w:val="Normal"/>
    <w:uiPriority w:val="39"/>
    <w:unhideWhenUsed/>
    <w:qFormat/>
    <w:rsid w:val="00f12be9"/>
    <w:pPr/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f12be9"/>
    <w:pPr>
      <w:spacing w:before="0" w:after="10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ac74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66713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FE18-09DE-4826-ABA6-ECB6C3C4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LibreOffice/6.1.3.2$Windows_X86_64 LibreOffice_project/86daf60bf00efa86ad547e59e09d6bb77c699acb</Application>
  <Pages>11</Pages>
  <Words>1601</Words>
  <Characters>12452</Characters>
  <CharactersWithSpaces>14030</CharactersWithSpaces>
  <Paragraphs>55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2020-04-08T08:19:00Z</dcterms:created>
  <dc:creator>dfdfd dfdf</dc:creator>
  <dc:description/>
  <dc:language>ru-RU</dc:language>
  <cp:lastModifiedBy/>
  <dcterms:modified xsi:type="dcterms:W3CDTF">2020-05-16T03:50:30Z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