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18" w:rsidRPr="00E4041A" w:rsidRDefault="00C00B18" w:rsidP="00C00B1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4041A">
        <w:rPr>
          <w:b/>
          <w:bCs/>
          <w:sz w:val="32"/>
          <w:szCs w:val="32"/>
        </w:rPr>
        <w:t xml:space="preserve">Внутрибольничная инфекция, понятие и природа современной ВБИ. Определение ВОЗ </w:t>
      </w:r>
    </w:p>
    <w:p w:rsidR="00C00B18" w:rsidRPr="00C00B18" w:rsidRDefault="00C00B18" w:rsidP="00C00B18">
      <w:pPr>
        <w:spacing w:before="120"/>
        <w:jc w:val="center"/>
        <w:rPr>
          <w:sz w:val="28"/>
          <w:szCs w:val="28"/>
        </w:rPr>
      </w:pPr>
      <w:r w:rsidRPr="00C00B18">
        <w:rPr>
          <w:sz w:val="28"/>
          <w:szCs w:val="28"/>
        </w:rPr>
        <w:t>Валерий Раповец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Внутрибольничная инфекция - это любое клинически выраженное заболевание микробного происхождения, поражающее больного в результате его госпитализации или посещения лечебного учреждения с целью лечения, а также больничный персонал в силу осуществления им деятельности, независимо от того, проявляются или не проявляются симптомы этого заболевания во время нахождения данных лиц в стационаре.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Природа ВБИ сложнее, чем казалась долгие годы; она определяется не только недостаточностью социально- экономической обеспеченности лечебной сферы, но и не всегда предсказуемыми эволюциями микроорганизмов, в т. ч. под воздействием экологического пресса, динамикой отношений организма хозяина и микрофлоры.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Рост ВБИ м.б. и следствием прогресса медицины при использовании, например, новых диагностических и лечебных препаратов и других медицинских средств, при осуществлении сложных манипуляций и оперативных вмешательств, применении прогрессивных, но недостаточно изученных решений. Причем в отдельном ЛПУ м.б. в наличии весь комплекс таких причин, однако удельный вес каждой из них в общем спектре будет сугубо индивидуальным.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Ущерб, связанный с ВБИ: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Удлинение времени пребывания больных в стационаре.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Рост летальности.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Материальные потери.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Социальный и психологический ущерб.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Этиологическая природа ВБИ.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Определяется широким кругом м/организмов (по современным данным более 300), включающим в себя как патогенную, так и условно- патогенную флору.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ВБИ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Традиционные (банальные патогены) (15%)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УПФ (85%)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Основные возбудители ВБИ: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Бактерии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o грамположительная кокковая флора: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o род стафилококков (виды:st. aureus, st. epidermidis, st. saprophyticus); род стрептококков (виды:str. pyogenes, str. pneumoniae, str. salivarius, str. mutans, str. mitis, str. anginosus, str. faecalis);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Грамотрицательная палочковидная флора: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1.Семейство энтеробактерий (20 родов)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род эшерихий ( E.coli, E.blattae)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род сальмонелла ( S.typhimurium, S.enteritidis)</w:t>
      </w:r>
    </w:p>
    <w:p w:rsidR="00C00B18" w:rsidRPr="00C00B18" w:rsidRDefault="00C00B18" w:rsidP="00C00B18">
      <w:pPr>
        <w:spacing w:before="120"/>
        <w:ind w:firstLine="567"/>
        <w:jc w:val="both"/>
        <w:rPr>
          <w:lang w:val="en-US"/>
        </w:rPr>
      </w:pPr>
      <w:r w:rsidRPr="0012430B">
        <w:t>род</w:t>
      </w:r>
      <w:r w:rsidRPr="00C00B18">
        <w:rPr>
          <w:lang w:val="en-US"/>
        </w:rPr>
        <w:t xml:space="preserve"> </w:t>
      </w:r>
      <w:r w:rsidRPr="0012430B">
        <w:t>шигелла</w:t>
      </w:r>
      <w:r w:rsidRPr="00C00B18">
        <w:rPr>
          <w:lang w:val="en-US"/>
        </w:rPr>
        <w:t xml:space="preserve"> ( Sh.dysenteriae, Sh. flexneri, Sh. Boydii, Sh. sonnei)</w:t>
      </w:r>
    </w:p>
    <w:p w:rsidR="00C00B18" w:rsidRPr="00C00B18" w:rsidRDefault="00C00B18" w:rsidP="00C00B18">
      <w:pPr>
        <w:spacing w:before="120"/>
        <w:ind w:firstLine="567"/>
        <w:jc w:val="both"/>
        <w:rPr>
          <w:lang w:val="en-US"/>
        </w:rPr>
      </w:pPr>
      <w:r w:rsidRPr="0012430B">
        <w:t>род</w:t>
      </w:r>
      <w:r w:rsidRPr="00C00B18">
        <w:rPr>
          <w:lang w:val="en-US"/>
        </w:rPr>
        <w:t xml:space="preserve"> </w:t>
      </w:r>
      <w:r w:rsidRPr="0012430B">
        <w:t>клебсиелла</w:t>
      </w:r>
      <w:r w:rsidRPr="00C00B18">
        <w:rPr>
          <w:lang w:val="en-US"/>
        </w:rPr>
        <w:t xml:space="preserve"> ( Kl. Pneumoniae, Kl. Ozaenae, Kl. rhinoskleromatis)</w:t>
      </w:r>
    </w:p>
    <w:p w:rsidR="00C00B18" w:rsidRPr="00C00B18" w:rsidRDefault="00C00B18" w:rsidP="00C00B18">
      <w:pPr>
        <w:spacing w:before="120"/>
        <w:ind w:firstLine="567"/>
        <w:jc w:val="both"/>
        <w:rPr>
          <w:lang w:val="en-US"/>
        </w:rPr>
      </w:pPr>
      <w:r w:rsidRPr="0012430B">
        <w:lastRenderedPageBreak/>
        <w:t>род</w:t>
      </w:r>
      <w:r w:rsidRPr="00C00B18">
        <w:rPr>
          <w:lang w:val="en-US"/>
        </w:rPr>
        <w:t xml:space="preserve"> </w:t>
      </w:r>
      <w:r w:rsidRPr="0012430B">
        <w:t>протей</w:t>
      </w:r>
      <w:r w:rsidRPr="00C00B18">
        <w:rPr>
          <w:lang w:val="en-US"/>
        </w:rPr>
        <w:t xml:space="preserve"> (Pr. Vulgaris, pr. Mirabilis)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род морганелла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род иерсиния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род гафния серрация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род энтеробактер цитробактер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род эдвардсиелла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род эрвиния и др.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2.Семейство псевдомонад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род Psudomonas ( вид Ps. aeroginosa)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Вирусы :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возбудители простого герпеса, ветряной оспы, цитомегалии ( около 20 видов);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аденовирусной инфекции;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гриппа, парагриппа;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респираторно-синцитиальной инфекции;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эпидпаротита;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кори;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риновирусы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энтеровирусы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ротавирусы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возбудители вирусных гепатитов.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Грибы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(условно-патогенные и патогенные)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род дрожжеподобных ( всего 80 видов, 20 из которых патогенны для человека)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род плесневых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род лучистых (около 40 видов)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Источники ВБИ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Пациенты ( больные и бактерионосители) - особенно длительно находящиеся в стационаре.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Медперсонал ( больные и бактерионосители) - особенно длительные носители и больные стертыми формами.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Роль посетителей стационаров, как источников ВБИ - незначительна !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Механизмы и пути передачи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1.Фекально-оральный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2. Воздушно-капельный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3. Трансмиссивный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4. Контактный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Факторы передачи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lastRenderedPageBreak/>
        <w:t xml:space="preserve">Контаминированный инструментарий, дыхательная и другая медаппаратура, белье, постельные принадлежности, кровати, предметы ухода за больными, перевязочный и шовный материал, эндопротезы и дренажи, трансплантанты, спецодежда, обувь, волосы и руки персонала и больных.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o "Влажные объекты"- краны, раковины, сливные трапы, инфузионные жидкости, питьевые р- ры, дистиллированная вода, контаминированные р-ры антисептиков, антибиотиков, дезинфектантов и др., кремы для рук, вода в вазах для цветов, увлажнители кондиционеров.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Классификация ВБИ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1. В зависимости от путей и факторов передачи ВБИ классифицируют: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Воздушно-капельные (аэрозольные)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Вводно-алиментарные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Контактно-бытовые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Контактно-инструментальные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Постинъекционные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Постоперационные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Послеродовые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Посттрансфузионные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Постэндоскопические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Посттрансплантационные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Постдиализные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Постгемосорбционные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Посттравматические инфекции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Другие формы.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2. От характера и длительности течения: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Острые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Подострые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Хронические.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3. По степени тяжести: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Тяжелые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Среднетяжелые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Легкие формы клинического течения.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В зависимости от степени распространения инфекции: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Генерализованные инфекции: бактериемия (виремия, микемия), септицемия, септикопиемия, токсико-септическая инфекция (бактериальный шок и др.).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Локализованные инфекции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Локализованные инфекции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Инфекции кожи и подкожной клетчатки (ожоговых, операционных, травматический ран, Постинъекционные абсцессы, омфалит, рожа, пиодермия, абсцесс и флегмона подкожной клетчатки, парапроктит, мастит, дерматомикозы и др.);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Респираторные инфекции (бронхит, пневмония, легочный абсцесс и гангрена, плеврит, эмпиема и др.);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Инфекции глаза (конъюнктивит, кератит, блефарит и др.);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ЛОР-инфекции (отиты, синуситы, ринит, мастоидит, ангина, ларингит, фарингит, эпиглоттит и др.);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Стоматологические инфекции (стоматит, абсцесс, др.);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Инфекции пищеварительной системы (гастроэнтероколит, энтерит, колит, холецистит, гепатиты, перитонит, абсцессы брюшины и др.);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Урологические инфекции (бактериурия, пиелонефрит, цистит, уретрит, др.);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Инфекции половой системы (сальпингоофорит, эндометрит, др.);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Инфекции костей и суставов (остеомиелит, инфекция сустава или суставной сумки, инфекция межпозвоночных дисков);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Инфекции ЦНС (менингит, абсцесс мозга, вентрикулит и др.);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Инфекции сердечно-сосудистой системы (инфекции артерий и вен, эндокардит, миокардит, перикардит, постоперационный медиастинит).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Причины способствующие сохранению высокого уровня заболеваемости ВБИ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Селекция полирезистентной микрофлоры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Главная причина - изменение свойств микробов, обусловленное неадекватным использованием в лечебной сфере антимикробных факторов и создание в ЛПУ условий для селекции микроорганизмов с вторичной (приобретенной) устойчивостью (полирезистентностью)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Первичная резистентность - природный видовой признак данного микроорганизма.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Вторичная резистентность - изменение наследственной информации под воздействием повреждения и появление микробов- мутантов, менее чувствительных к воздействию агента.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Механизм селекции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Микробы с приобретенной устойчивостью имеют преимущества перед другими представителями популяции, что приводит к их селекции и дальнейшему доминированию (формированию госпитального штамма)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Отличия госпитального штамма от обычного: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Способность к длительному выживанию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Повышенная агрессивность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Повышенная устойчивость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Повышенная патогенность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Постоянная циркуляция среди больных и персонала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1-й принцип Флеминга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Назначение противомикробного средства только при условии чувствительности к нему возбудителя !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Рекомендации ВОЗ (к 1-му принципу)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Всемерное ограничение использования АБ в клинических условиях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Обязательное изучение спектра действия АБ и чувствительности возбудителя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Предпочтение препарата с узким спектром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При назначении АБ по жизненным показаниям - препарат широкого спектра, с учетом АБ- граммы ведущей микрофлоры стационара.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2-й принцип Флеминга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Обеспечение эффективной концентрации в очаге инфекции (дозы- разовая, суточная, курсовая)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Рекомендации ВОЗ (ко 2-му принципу)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Уменьшение местного использования АБ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Уменьшение профилактического использования АБ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Периодическая корректива АБ-терапии на основе исследования микрофлоры раны и ее АБ-граммы (1 раз в 4-6 дней)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Отмена АБ сразу, без постепенного снижения дозировки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3-й принцип Флеминга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Назначение АБ в такой дозе ( разовой, суточной, курсовой) и введение таким путем, чтобы максимально ограничить его повреждающее действие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Рациональное применение дезинфектантов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Идеальное дезсредство должно: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обладать широким спектром действия или надежно воздействовать на определенных возбудителей;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не терять активности в присутствии белка, моющих средств и др.;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иметь минимальную токсичность;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не изменять функц. св-ва изделий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не иметь неприятного запаха;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обладать очищающим эффектом, хорошо смываться водой;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не загрязнять окружающей среды;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быть экономичным;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медленно вырабатывать устойчивость у возбудителей к нему.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Факторы, влияющие на эффективность дезинфекции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Предварительная очистка предметов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Интенсивность микробного загрязнения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Концентрация и время действия препарата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Характер обрабатываемого предмета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Температура, влажность и рН среды, при которых происходит дезинфекция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Формирование бактерионосительства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Б/носитель - важнейший источник ВБИ !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Б/носительство - форма инфекционного процесса , при котором наступает динамическое равновесие между макро- и микроорганизмом на фоне отсутствия клинических симптомов, но с развитием иммуно- морфологических реакций.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Пассаж м/организма через 5 ослабленных лиц приводит к усилению агрессивности микроба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Патогенез формирования б/носительства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Профилактика формирования б/носительства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Регулярная качественная диспансеризация медперсонала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Бакобследование персонала по эпидпоказаниям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Своевременное выявление инфекционных заболеваний среди медперсонала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Ежедневный контроль за состоянием здоровья медперсонала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Контингенты риска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Пожилые пациенты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Дети раннего возраста, недоношенные, ослабленные вследствие многих причин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Пациенты со сниженной иммунобиологической защитой вследствие заболеваний (онкологических, крови, эндокринных, аутоиммунных и аллергических, инфекций иммунной системы, длительных операций )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Пациенты с измененным психофизиологическим статусом обусловленным экологическим неблагополучием территорий, на которых они проживают и трудятся.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Опасные диагностические процедуры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Взятие крови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Процедуры зондирования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Эндоскопии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Пункции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Венесекции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Мануальные ректальные и вагинальные исследования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Опасные лечебные процедуры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Трансфузии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Инъекции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Пересадки тканей, органов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Операции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Интубации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Ингаляционный наркоз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ИВЛ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Катетеризация сосудов и мочевыводящих путей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Гемодиализ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Ингаляции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Бальнеологические процедуры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Классификация изделий медицинского назначения (по Сполдингу)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"критические" предметы -хирургические инструменты, катетеры, имплантанты, жидкости для инъекций, иглы (д.б.стерильными !)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"полукритические" - эндоскопы, оборудование для ингаляций, анестезии, ректальные термометры (должны подвергаться высокому уровню дезинфекции)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"некритические" - подкладные судна, манжетки тонометров, костыли, посуда, подмышечные термометры т.е. предметы контактирующие с кожей. (должны подвергаться низкому уровню дезинфекции или просто быть чистыми)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Недостатки объемно-планировочных решений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Функциональное зонирование подразделений стационара.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Низкая эффективность медико-технического оснащения как предпосылка эпиднеблагополучия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Недостаточное оснащение оборудованием, инструментарием, перевязочным материалом, лекарствами;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Недостаточный набор и площади помещений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Нарушения в работе вентиляции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Аварийные ситуации на водо- и канализационных сетях, перебои в подаче хол. и гор. воды, нарушения в тепло- и энергоснабжении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Кадровый оптимум стационара (рекомендуемый ВОЗ)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Соотношение врач/сестра ( в зависимости от профиля отделения) д.б. 1:2, 1:3, 1:4 и более в пользу м/сестер 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Дефицит м/сестер - выполнение врачами несвойственных им функций (врач не является специалистом в выполнении инвазивных мероприятий сестринского профиля)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Дефицит санитарок - расширение сектора деятельности м/сестер (уборка и т. д.), вхпдящего в противоречие с противоэпидемическими правилами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Невыполнение персоналом санэпидрежима.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"Степень зрелости практического врача оценивается по тому, как он в лечебной работе относится к гигиене". -Мудров М.Я.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Основные термины и понятия 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Дезинфекция- уничтожение вегетативных форм микроорганизмов на объектах внешней среды (или снижение их численности).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Антисептика - уничтожение вегетативных форм микроорганизмов на биологических объектах 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Основные термины и понятия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>Стерилизация - уничтожение всех форм микроорганизмов (вегетативных и споровых) на объектах внешней среды.</w:t>
      </w:r>
    </w:p>
    <w:p w:rsidR="00C00B18" w:rsidRPr="0012430B" w:rsidRDefault="00C00B18" w:rsidP="00C00B18">
      <w:pPr>
        <w:spacing w:before="120"/>
        <w:ind w:firstLine="567"/>
        <w:jc w:val="both"/>
      </w:pPr>
      <w:r w:rsidRPr="0012430B">
        <w:t xml:space="preserve">Асептика - предупреждение попадания микроорганизмов в рану. </w:t>
      </w:r>
    </w:p>
    <w:p w:rsidR="00C00B18" w:rsidRPr="00E4041A" w:rsidRDefault="00C00B18" w:rsidP="00C00B18">
      <w:pPr>
        <w:spacing w:before="120"/>
        <w:jc w:val="center"/>
        <w:rPr>
          <w:b/>
          <w:bCs/>
          <w:sz w:val="28"/>
          <w:szCs w:val="28"/>
        </w:rPr>
      </w:pPr>
      <w:r w:rsidRPr="00E4041A">
        <w:rPr>
          <w:b/>
          <w:bCs/>
          <w:sz w:val="28"/>
          <w:szCs w:val="28"/>
        </w:rPr>
        <w:t>Список литературы</w:t>
      </w:r>
    </w:p>
    <w:p w:rsidR="00C00B18" w:rsidRDefault="00C00B18" w:rsidP="00C00B18">
      <w:pPr>
        <w:spacing w:before="120"/>
        <w:ind w:firstLine="567"/>
        <w:jc w:val="both"/>
      </w:pPr>
      <w:r w:rsidRPr="0012430B">
        <w:t xml:space="preserve">Для подготовки данной работы были использованы материалы с сайта </w:t>
      </w:r>
      <w:hyperlink r:id="rId4" w:history="1">
        <w:r w:rsidRPr="009C380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18"/>
    <w:rsid w:val="00095BA6"/>
    <w:rsid w:val="0012430B"/>
    <w:rsid w:val="0031418A"/>
    <w:rsid w:val="005A2562"/>
    <w:rsid w:val="009C380F"/>
    <w:rsid w:val="00A44D32"/>
    <w:rsid w:val="00C00B18"/>
    <w:rsid w:val="00D0152F"/>
    <w:rsid w:val="00E12572"/>
    <w:rsid w:val="00E4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E349C1-19E2-4F02-840E-4BA4A826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1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0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1786</Words>
  <Characters>10181</Characters>
  <Application>Microsoft Office Word</Application>
  <DocSecurity>0</DocSecurity>
  <Lines>84</Lines>
  <Paragraphs>23</Paragraphs>
  <ScaleCrop>false</ScaleCrop>
  <Company>Home</Company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Внутрибольничная инфекция, понятие и природа современной ВБИ</dc:title>
  <dc:subject/>
  <dc:creator>Alena</dc:creator>
  <cp:keywords/>
  <dc:description/>
  <cp:lastModifiedBy>Igor Trofimov</cp:lastModifiedBy>
  <cp:revision>2</cp:revision>
  <dcterms:created xsi:type="dcterms:W3CDTF">2024-10-05T20:21:00Z</dcterms:created>
  <dcterms:modified xsi:type="dcterms:W3CDTF">2024-10-05T20:21:00Z</dcterms:modified>
</cp:coreProperties>
</file>