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05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000000" w:rsidRDefault="00505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505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505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505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505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505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505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505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505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505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505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505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505BD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Курсовая работа</w:t>
      </w:r>
    </w:p>
    <w:p w:rsidR="00000000" w:rsidRDefault="00505BD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Взаимосвязь стрессоустойчивости и творческого мышления студентов-психологов</w:t>
      </w:r>
    </w:p>
    <w:p w:rsidR="00000000" w:rsidRDefault="00505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505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:rsidR="00000000" w:rsidRDefault="00505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Введение</w:t>
      </w:r>
    </w:p>
    <w:p w:rsidR="00000000" w:rsidRDefault="00505BDE">
      <w:pPr>
        <w:widowControl w:val="0"/>
        <w:autoSpaceDE w:val="0"/>
        <w:autoSpaceDN w:val="0"/>
        <w:adjustRightInd w:val="0"/>
        <w:spacing w:after="200" w:line="276" w:lineRule="auto"/>
        <w:ind w:firstLine="160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творческий мышление стрессоустойчивость характер</w:t>
      </w:r>
    </w:p>
    <w:p w:rsidR="00000000" w:rsidRDefault="00505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Студенты, обучающиеся на факультете психологии, ровно так же, как и любые другие, повсемес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тно встречаются с различными жизненными ситуациями, которые могут вызвать стресс. Заметим, их будущая профессия обязывает помогать людям. Наверняка, это сложно будет сделать, если студенты сами не научаться справляться со стрессорами, поэтому будущим психо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логам очень важно обладать высокой стрессоустойчивостью. Такое положение вещей, заставляет нас искать то, каким образом можно повысить устойчивость к стрессу.</w:t>
      </w:r>
    </w:p>
    <w:p w:rsidR="00000000" w:rsidRDefault="00505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Мы задумались, размышляя о самом стрессе, почему многие писатели, поэты, люди с, безусловно, твор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ческим мышлением, утверждают, что вдохновение приходит именно в стрессовом состоянии?</w:t>
      </w:r>
    </w:p>
    <w:p w:rsidR="00000000" w:rsidRDefault="00505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 может быть, выплеск стресса в творчество и является некой защитой, которая позволяет не разрушить себя? И, если это так, значит, можно повлиять на стрессоустойчивость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утем творчества.</w:t>
      </w:r>
    </w:p>
    <w:p w:rsidR="00000000" w:rsidRDefault="00505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Но прежде стоит выяснить какая связь лежит между творческим мышлением и стрессоустойчивостью, и есть ли она вообще, именно это и является целью нашей курсовой работы.</w:t>
      </w:r>
    </w:p>
    <w:p w:rsidR="00000000" w:rsidRDefault="00505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психологии данная взаимосвязь не была еще изучена, поэтому наше исслед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ование является актуальным для науки.</w:t>
      </w:r>
    </w:p>
    <w:p w:rsidR="00000000" w:rsidRDefault="00505BD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Цель работы: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Выявить взаимосвязь стрессоустойчивости с творческим мышлением</w:t>
      </w:r>
    </w:p>
    <w:p w:rsidR="00000000" w:rsidRDefault="00505BD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Гипотеза исследования: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Между стрессоустойчивостью и творческим мышление есть прямая взаимосвязь</w:t>
      </w:r>
    </w:p>
    <w:p w:rsidR="00000000" w:rsidRDefault="00505BD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Объект исследования: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Стрессоустойчивость.</w:t>
      </w:r>
    </w:p>
    <w:p w:rsidR="00000000" w:rsidRDefault="00505BD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Пред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мет исследования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: Связь стрессоустойчивости с творческим мышлением.</w:t>
      </w:r>
    </w:p>
    <w:p w:rsidR="00000000" w:rsidRDefault="00505BD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Задачи исследования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:</w:t>
      </w:r>
    </w:p>
    <w:p w:rsidR="00000000" w:rsidRDefault="00505BD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. Изучить проблемы стрессоустойчивости и творческого мышления в психологической литературе;</w:t>
      </w:r>
    </w:p>
    <w:p w:rsidR="00000000" w:rsidRDefault="00505BD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Экспериментально изучить уровень стрессоустойчивости студентов-психологов</w:t>
      </w:r>
    </w:p>
    <w:p w:rsidR="00000000" w:rsidRDefault="00505BD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Экспериментально изучить творческое мышление студентов-психологов;</w:t>
      </w:r>
    </w:p>
    <w:p w:rsidR="00000000" w:rsidRDefault="00505BD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Провести корреляционный анализ и интерпретировать полученные результаты;</w:t>
      </w:r>
    </w:p>
    <w:p w:rsidR="00000000" w:rsidRDefault="00505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5. Сделать выводы.</w:t>
      </w:r>
    </w:p>
    <w:p w:rsidR="00000000" w:rsidRDefault="00505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Исходя из сформулированной темы, поставленной цели и задач, мы определили структуру нашей 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боты. Работа состоит из введения, двух глав, заключения и списка используемой литературы.</w:t>
      </w:r>
    </w:p>
    <w:p w:rsidR="00000000" w:rsidRDefault="00505BD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Методы исследования: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теоретический анализ литературы по проблеме исследования; эмпирические методы исследования: методика «Опросник «Потери и приобретения персональны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х ресурсов»» Н. Водопьяновой и М. Штейн, тест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Завершения картинок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» 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методика Е. Торренса, адаптирована А.Н. Ворониным); Тест Отдаленных Ассоциаций (методика С. Медника, адаптирована А.Н. Ворониным,); корреляционный анализ с помощью коэффициента корреляции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Пирсона; интерпретационные методы.</w:t>
      </w:r>
    </w:p>
    <w:p w:rsidR="00000000" w:rsidRDefault="00505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505BD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:rsidR="00000000" w:rsidRDefault="00505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1. Изучение понятий «стрессоустойчивость» и «творческое мышление»</w:t>
      </w:r>
    </w:p>
    <w:p w:rsidR="00000000" w:rsidRDefault="00505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505BDE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1.1 Понятие стрессоустойчивости</w:t>
      </w:r>
    </w:p>
    <w:p w:rsidR="00000000" w:rsidRDefault="00505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505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Стресс - это не то, что с вами случилось,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  <w:t>а то, как вы это воспринимаете.</w:t>
      </w:r>
    </w:p>
    <w:p w:rsidR="00000000" w:rsidRDefault="00505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Ганс Селье</w:t>
      </w:r>
    </w:p>
    <w:p w:rsidR="00000000" w:rsidRDefault="00505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Прежде, чем говорить о стрессоус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тойчивости, нужно разобраться в том, что же заключается в самом понятии «стресс».</w:t>
      </w:r>
    </w:p>
    <w:p w:rsidR="00000000" w:rsidRDefault="00505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 этим понятием связывают, прежде всего, имя канадского физиолога Ганса Селье, который первый предложил теорию стресса. Под названием «общий адаптационный синдром» канадский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ученый описывает физиологический стресс, длительное время избегая употребления самого термина, и только в 1946 году начинает систематически использовать его.</w:t>
      </w:r>
    </w:p>
    <w:p w:rsidR="00000000" w:rsidRDefault="00505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Согласно теории Ганса Селье, все биологические организмы имеют врожденные механизмы поддержания со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стояния внутреннего баланса функционирования своих систем, который сохраняется благодаря процессам гомеостазиса. Сильные внешние раздражители (стрессоры) нарушают внутреннее равновесие, и организм реагирует на них неспецифическим физиологическим возбуждени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ем. «Стресс есть неспецифический ответ организма на любое предъявление ему требования […] Другими словами, кроме специфического эффекта, все воздействующие на нас агенты вызывают также и неспецифическую потребность осуществить приспособительные функции и 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ем самым восстановить нормальное состояние. Эти функции независимы от специфического воздействия. Неспецифические требования, предъявляемые воздействием как таковым, - это и есть сущность стресса» [14].</w:t>
      </w:r>
    </w:p>
    <w:p w:rsidR="00000000" w:rsidRDefault="00505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Развитие стресса и приспособление к нему проходит нес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колько стадий. Время течения и перехода на каждую стадию зависит от уровня резистентности организма, интенсивности и длительности воздействия стрессора. Г. Селье отмечает, что организм имеет ограниченные резервы адаптационных возможностей по предупреждению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купированию стресса - их истощение может привести к заболеванию и смерти.</w:t>
      </w:r>
    </w:p>
    <w:p w:rsidR="00000000" w:rsidRDefault="00505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Селье выделил три стадии стресса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Первая - реакция тревоги, выражающаяся в мобилизации всех ресурсов организма. За ней наступает стадия сопротивления, когда организму удается (за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счет предшествующей мобилизации) успешно справится с внешними воздействиями. В этот период может наблюдаться повышенная стрессоустойчивость. Если же действие вредоносных факторов долго не удается устранить и преодолеть, наступает третья стадия - истощение.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Приспособительные возможности организма снижаются. В этот период он хуже сопротивляется новым «вредностям», увеличивается опасность заболевания.</w:t>
      </w:r>
    </w:p>
    <w:p w:rsidR="00000000" w:rsidRDefault="00505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Изначально Г. Селье рассматривал стресс исключительно как разрушительное, негативное явление, но позже он пише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 «Стресс есть неспецифический ответ организма на любое предъявление ему требования. […] С точки зрения стрессовой реакции не имеет значения, приятна или неприятна ситуация, с которой мы столкнулись. Имеет значение лишь интенсивность потребности в перестро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йке или в адаптации.» [14] Это заставляет Ганса Селье ввести дополнительные понятия. Так «положительный стресс» он обозначает как эустресс, а «отрицательный стресс» - как дистресс.</w:t>
      </w:r>
    </w:p>
    <w:p w:rsidR="00000000" w:rsidRDefault="00505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Ганс Селье обращает внимание на то, что «стресс - это не просто нервное нап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ряжение… а также «стресс не всегда результат повреждения. Деятельность, связанная со стрессом, может быть приятной или неприятной. Дистресс всегда неприятен» [14]. Следует подчеркнуть, что Ганс Селье рассматривал стресс с позиции физиологической реакции 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физические, химические и органические факторы.</w:t>
      </w:r>
    </w:p>
    <w:p w:rsidR="00000000" w:rsidRDefault="00505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Стоит отметить, что Г. Селье, изучая физиологический стресс, указывает на то, что слово «стресс», так же как «успех», «неудача» и «счастье», имеет различное значение для разных людей. Поэтому дать его определ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ение очень трудно, хотя оно и вошло в нашу обыденную речь… [14]</w:t>
      </w:r>
    </w:p>
    <w:p w:rsidR="00000000" w:rsidRDefault="00505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Те не менее, он определят стресс как неспецифический ответ организма на любое предъявленное ему требование, и этот ответ представляет собой напряжение организма, направленное на преодоление во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зникающих трудностей и приспособление к возросшим требованиям.</w:t>
      </w:r>
    </w:p>
    <w:p w:rsidR="00000000" w:rsidRDefault="00505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Продолжая изучение стресса, Р. Лазарус выдвинул концепцию, согласно которой разграничивается физиологический стресс и психический (эмоциональный) стресс.</w:t>
      </w:r>
    </w:p>
    <w:p w:rsidR="00000000" w:rsidRDefault="00505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Р. Лазарус разрабатывает когнитивную те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орию психологического стресса. В ее основе лежат положения о роли субъективной познавательной оценки угрозы неблагоприятного воздействия и своей возможности преодоления стресса [17].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Согласно Р. Лазарусу, адаптация к среде определяется эмоциями, качество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интенсивность которых обуславливаются познавательными процессами и зависят в первую очередь от когнитивной оценки значимости реального и антиципирующего взаимодействия средой, определяемой из благополучия личности.</w:t>
      </w:r>
    </w:p>
    <w:p w:rsidR="00000000" w:rsidRDefault="00505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Автор обусловливал стресс двумя личностн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ыми особенностями:</w:t>
      </w:r>
    </w:p>
    <w:p w:rsidR="00000000" w:rsidRDefault="00505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представлениями о мире и себе и способностью брать на себя обязательства;</w:t>
      </w:r>
    </w:p>
    <w:p w:rsidR="00000000" w:rsidRDefault="00505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представлением о своих способностях влиять на последствия [17].</w:t>
      </w:r>
    </w:p>
    <w:p w:rsidR="00000000" w:rsidRDefault="00505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Согласно Р. Лазарусу, стресс - это дискомфорт, испытываемый, когда отсутствует равновесие между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индивидуальным восприятием запросов среды и ресурсов, доступных для взаимодействия с этими запросами.</w:t>
      </w:r>
    </w:p>
    <w:p w:rsidR="00000000" w:rsidRDefault="00505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Основная индивидная характеристика содержания стресса - адаптация (стрессоустойчивость). По мнению Ю.А. Александровского, А.Д. Адо, В.И. Лебедева - это 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арьер психической адаптации. Л.Г. Дикая, О.А. Конопкин, В.И. Моросанова, Р.Р. Сагиев основой стрессоустойчивости считают саморегуляцию человека, которая состоит из определенных звеньев и стилистически разнообразна. Такие авторы, как Л. Мерфи, вышеупомянуты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 Р. Лазарус, С. Фолкман, Д. Амирхан, Н. Сирота относят к данной характеристике различные когнитивно обусловленные механизмы совладания со стрессом или копинг-механизмы и механизмы психологической защиты. Копинг-механизмы проявляются в когнитивной, эмоцион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альной и поведенческой сфере человека в виде разнообразных копинг-стратегий: противостоящего совладания, дистанцирования, самоконтроля, поиска социальной поддержки, принятия ответственности, избегания, планового решения проблемы, позитивной переоценки. Так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же это копинг-стратегии решения проблемы, поиска социальной поддержки, избегания проблемы. Молодые люди и мужчины выбирают активные копинг-стратегии, а пожилые люди и женщины - пассивные. На копинг-стратегии влияет локус-контроль (Д. Роттер), этнический фа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ктор (Л. Таукенова), тип ВНД (Л. Собчик), психические и соматические заболевания (Е. Чехлатый, Н. Сирота, В. Ялтонский).</w:t>
      </w:r>
    </w:p>
    <w:p w:rsidR="00000000" w:rsidRDefault="00505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Ресурсные концепции психологического стресса связывают адаптационные возможности человека и устойчивость к стрессогенным жизненным обст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оятельствам с наличием личностных (социально-психологичсеских) ресурсов. Хобфолл называет ресурсами то, что является ценным для человека и помогает адаптироваться к стрессовым ситуациям или преодолевать стрессы жизни.</w:t>
      </w:r>
    </w:p>
    <w:p w:rsidR="00000000" w:rsidRDefault="00505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Согласно ресурсной концепции Хобфолла,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психологический стресс и риск болезней адаптации возникает при нарушении баланса между потерей и приобретением персональных ресурсов. Психологический стресс развивается в ситуациях трех типов:</w:t>
      </w:r>
    </w:p>
    <w:p w:rsidR="00000000" w:rsidRDefault="00505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 ситуации, представляющие угрозу потери ресурсов;</w:t>
      </w:r>
    </w:p>
    <w:p w:rsidR="00000000" w:rsidRDefault="00505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• ситуации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фактической потери ресурсов;</w:t>
      </w:r>
    </w:p>
    <w:p w:rsidR="00000000" w:rsidRDefault="00505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 ситуации отсутствия адекватного возмещения истраченных ресурсов, когда вложение личных усилий либо невозможно для достижения желаемого результата, либо значительно превышает получаемый результат.</w:t>
      </w:r>
    </w:p>
    <w:p w:rsidR="00000000" w:rsidRDefault="00505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Опираясь на эту концепцию, Н.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Водопьянова, М. Штейн разработали методику «ОППР», в контексте которой ресурсы понимаются как значимые характеристики, которые необходимы (прямо или косвенно) для преодоления реальных или предполагаемых стрессов жизни. [6]</w:t>
      </w:r>
    </w:p>
    <w:p w:rsidR="00000000" w:rsidRDefault="00505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Б.Х. Варданян определяет стрессо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устойчивость как особое взаимодействие всех компонентов психической деятельности, в том числе эмоциональных. Он пишет, что стрессоустойчивость «…можно более конкретно определить как свойство личности, обеспечивающее гармоническое отношение между всеми комп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онентами психической деятельности в эмоциогенной ситуации и, тем самым, содействующее успешному выполнению деятельности» [3]</w:t>
      </w:r>
    </w:p>
    <w:p w:rsidR="00000000" w:rsidRDefault="00505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одну из существенных сторон стрессоустойчивости обращает свое внимание П.Б. Зильберман, говоря о том, что устойчивость может быт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 нецелесообразным явлением, характеризующим отсутствие адекватного отражения изменившейся ситуации, свидетельствующим о недостаточной гибкости, приспособляемости. Он же предлагает свою и, на наш взгляд, одну из самых удачных трактовок стрессоустойчивости,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понимая под ней «..интегративное свойство личности, характеризующееся таким взаимодействием эмоциональных, волевых, интеллектуальных и мотивационных компонентов психической деятельности индивидуума, которое обеспечивает оптимальное успешное достижение цел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деятельности в сложной эмотивной обстановке». [Цит. по 10, с. 20]</w:t>
      </w:r>
    </w:p>
    <w:p w:rsidR="00000000" w:rsidRDefault="00505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Н.И. Бережная рассматривает стрессоустойчивость как качество личности, состоящее из совокупности следующих компонентов:</w:t>
      </w:r>
    </w:p>
    <w:p w:rsidR="00000000" w:rsidRDefault="00505BD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а) психофизиологического (тип, свойства нервной системы);</w:t>
      </w:r>
    </w:p>
    <w:p w:rsidR="00000000" w:rsidRDefault="00505BD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б) мотивац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ионного. Сила мотивов определяет в значительной мере эмоциональную устойчивость. Один и тот же человек может обнаружить разную степень ее в зависимости от того, какие мотивы побуждают его проявлять активность. Изменяя мотивацию можно увеличить (или уменьши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ть) эмоциональную устойчивость;</w:t>
      </w:r>
    </w:p>
    <w:p w:rsidR="00000000" w:rsidRDefault="00505BD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в) эмоционального опыта личности, накопленного в процессе преодоления отрицательных влияний экстремальных ситуаций;</w:t>
      </w:r>
    </w:p>
    <w:p w:rsidR="00000000" w:rsidRDefault="00505BD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г) волевого, который выражается в сознательной саморегуляции действий, приведении их в соответствие с требов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аниями ситуации;</w:t>
      </w:r>
    </w:p>
    <w:p w:rsidR="00000000" w:rsidRDefault="00505BD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д) профессиональной подготовленности, информированности и готовности личности к выполнению тех или иных задач;</w:t>
      </w:r>
    </w:p>
    <w:p w:rsidR="00000000" w:rsidRDefault="00505BD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е) интеллектуального - оценка требований ситуации, прогноз ее возможного изменения, принятие решений о способах действий.</w:t>
      </w:r>
    </w:p>
    <w:p w:rsidR="00000000" w:rsidRDefault="00505BD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Некото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рые авторы рассматривают стрессоустойчивость как одну из подструктур готовности человека к деятельности в напряженных ситуациях. Так, Дьяченко М.И. полагает, что среди факторов, от которых зависит уровень и успех деятельности специалистов в напряженных сит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уациях, особое значение имеет готовность к ним. Она способствует быстрому и правильному использованию знаний, опыта, личных качеств, сохранению самоконтроля и перестройке деятельности при появлении непредвиденных препятствий. К числу внешних и внутренних 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словий, обусловливающих готовность, данные исследователи относят: содержание поставленных задач, их трудность, новизну; обстановку деятельности, мотивацию, оценку вероятности достижения цели, самооценку, нервно-психическое состояние и кроме того, эмоционал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ьную устойчивость к стрессовой ситуации.</w:t>
      </w:r>
    </w:p>
    <w:p w:rsidR="00000000" w:rsidRDefault="00505BD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Таким образом, рассмотрев научные взгляды разных авторов, мы можем сказать, что стрессоустойчивость - это самооценка способности и возможности преодоления экстремальной ситуации связана с ресурсом личности или запас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ом, потенциалом различных структурно-функциональных характеристик, обеспечивающих общие виды жизнедеятельности и специфические формы поведения, реагирования, адаптации и т.д.</w:t>
      </w:r>
    </w:p>
    <w:p w:rsidR="00000000" w:rsidRDefault="00505BD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 сам стресс - это психофизиологическая реакция, которая является неотъемлемой ча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стью нашей жизни. Избежать его в условиях нашего существования невозможно, да это не всегда и надо, т.к. стресс имеет способность закалять психику человека и подготавливать его к более сложным ситуациям в будущем.</w:t>
      </w:r>
    </w:p>
    <w:p w:rsidR="00000000" w:rsidRDefault="00505BDE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505BDE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1.2 Изучение творческого мышления в психо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логии</w:t>
      </w:r>
    </w:p>
    <w:p w:rsidR="00000000" w:rsidRDefault="00505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505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Если в современном обществе мы не будем иметь людей, которые конструктивно реагируют на малейшие изменения в общем развитии, мы можем погибнуть, и это будет та цена, которую мы все заплатим за отсутствие творческости.</w:t>
      </w:r>
    </w:p>
    <w:p w:rsidR="00000000" w:rsidRDefault="00505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Карл Роджерс</w:t>
      </w:r>
    </w:p>
    <w:p w:rsidR="00000000" w:rsidRDefault="00505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Проблема творческо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го мышления занимала умы философов еще во времена античности. В наше время интересна, например, идея Платона, в чем-то предвосхитившая идею З. Фрейда, изложенная в учении об эросе. Платон представляет, что божественное творчество, плодом которого является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мироздание, есть момент божественного созерцания.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  <w:t>Аналогично этому и человеческое творчество есть только момент в достижении высшего, доступного человеку «умного» созерцания. Стремление к этому высшему состоянию, род одержимости и есть «Эрос», который пред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стает и как эротическая одержимость тела, стремление к рождению, и как эротическая одержимость души стремление к художественному творчеству, и, наконец, как одержимость духа - страстная тяга к чистому созерцанию прекрасного. [18]</w:t>
      </w:r>
    </w:p>
    <w:p w:rsidR="00000000" w:rsidRDefault="00505B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психологической науке 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здел «психология мышления» впервые выделяется психологами, относящимися к Вюрцбургской школе, представителями которой являются О. Кюльпе, К. Марбе, Н. Ах. Они рассматривали мышление как внутреннюю деятельность по решению задач. [15]</w:t>
      </w:r>
    </w:p>
    <w:p w:rsidR="00000000" w:rsidRDefault="00505B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Выделив мышление в само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стоятельную деятельность, Вюрцбургская школа фактически противопоставила и оторвала ее от практической деятельности, мышления, языка и чувственных образов. Вместе с тем был в значительной мере предопределен круг вопросов, которые впоследствии стали основны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ми в рамках психологии мышления: соотношение внешней и внутренней деятельности, мышления и языка, мышления и чувственных образов, детерминация мышления и его избирательность, задача и средства ее решения [15]. Вюрцбургская школа определяет мышление как про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цесс решения проблем.</w:t>
      </w:r>
    </w:p>
    <w:p w:rsidR="00000000" w:rsidRDefault="00505B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психоаналитическом подходе был сформирован свой взгляд на исследование творческого мышления. В рамках этого подхода впервые была предпринята попытка выделения фактора, лежащего в основе мыслительной активности.</w:t>
      </w:r>
    </w:p>
    <w:p w:rsidR="00000000" w:rsidRDefault="00505B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Основатель психоанали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 и приверженец энергетической теории человека вышеупомянутый нами З. Фрейд считал, что творческий продукт является результатом косвенного выражения сексуальной и агрессивной энергии, которой не дали выразить себя более прямым путем [12].</w:t>
      </w:r>
    </w:p>
    <w:p w:rsidR="00000000" w:rsidRDefault="00505B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А. Адлер смещает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акценты с сексуальной сферы на социальную, а творчество трактовал как специфический способ компенсации комплекса неполноценности [12].</w:t>
      </w:r>
    </w:p>
    <w:p w:rsidR="00000000" w:rsidRDefault="00505B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К. Юнг рассматривал стремление к творчеству как часть базовой энергии либидо. В самом же феномене творчества он видел пр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оявление архетипов коллективного бессознательного, пропущенных сквозь призму индивидуального опыта и восприятия творца.</w:t>
      </w:r>
    </w:p>
    <w:p w:rsidR="00000000" w:rsidRDefault="00505B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Психоанализ впервые акцентировал важность проблемы мотивов и значимость бессознательного в мышлении [15].</w:t>
      </w:r>
    </w:p>
    <w:p w:rsidR="00000000" w:rsidRDefault="00505B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Стоит заметить, что новый аспе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кт мышления был выделен в трудах представителей гештальт-психологии - М. Вертхаймера, К. Дункера, В. Келера и других. В рамках данной школы, в основном, проводились экспериментальные исследования восприятия, затем некоторые выводы были перенесены на изучен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ие мышления. Основным положением данной школы являлось утверждение, что целостный образ - гештальт - возникает не путем синтеза, а сразу как целостный. Сам гештальт истолковывался как функциональный, т.е. как некоторая структура, характеризуемая через функ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цию, а мышление - как деятельность последовательного переструктурирования, продолжающегося вплоть до нахождения необходимого по ситуации гештальта (структуры), что и было названо «инсайтом», или «озарением» [15].</w:t>
      </w:r>
    </w:p>
    <w:p w:rsidR="00000000" w:rsidRDefault="00505B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гештальт-психологии считались обязательны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ми следующие требования к умственному складу творческой личности:</w:t>
      </w:r>
    </w:p>
    <w:p w:rsidR="00000000" w:rsidRDefault="00505B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 быть ограниченным, ослепленным привычками;</w:t>
      </w:r>
    </w:p>
    <w:p w:rsidR="00000000" w:rsidRDefault="00505B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 повторять просто и раболепно то, чему вас учили;</w:t>
      </w:r>
    </w:p>
    <w:p w:rsidR="00000000" w:rsidRDefault="00505B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 действовать механически;</w:t>
      </w:r>
    </w:p>
    <w:p w:rsidR="00000000" w:rsidRDefault="00505B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 занимать частичную позицию;</w:t>
      </w:r>
    </w:p>
    <w:p w:rsidR="00000000" w:rsidRDefault="00505B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 действовать со вниманием, соср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едоточенным на ограниченную часть проблемной структуры;</w:t>
      </w:r>
    </w:p>
    <w:p w:rsidR="00000000" w:rsidRDefault="00505B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 действовать частичными операциями, но свободно, с открытым для новых идей умом оперировать с ситуацией, стараясь найти ее внутренние соотношения</w:t>
      </w:r>
    </w:p>
    <w:p w:rsidR="00000000" w:rsidRDefault="00505B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Психологи-гуманисты (Г. Олпорт, А. Маслоу) считали,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что первоначальный источник творчества - мотив личностного роста. По Маслоу - это потребность в самоактуализации, полной и свободной реализации своих способностей и жизненных возможностей [8].</w:t>
      </w:r>
    </w:p>
    <w:p w:rsidR="00000000" w:rsidRDefault="00505B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Творческое мышление изучалось также в рамках психометрического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подхода. Здесь можно выделить концепцию креативности Дж. Гилфорда и Э.П. Торренса, представляющую креативность как универсальную познавательную творческую способность.</w:t>
      </w:r>
    </w:p>
    <w:p w:rsidR="00000000" w:rsidRDefault="00505B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Гилфорд выделил два типа мышления: конвергентное и дивергентное.</w:t>
      </w:r>
    </w:p>
    <w:p w:rsidR="00000000" w:rsidRDefault="00505B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рамках своей концепци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Гилфорд считал операцию дивергенции наряду с операциями преобразования и импликации, основой креативности как общей творческой способности [8].</w:t>
      </w:r>
    </w:p>
    <w:p w:rsidR="00000000" w:rsidRDefault="00505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Он считал что «творческость» мышления связана с доминированием в нем четырех особенностей:</w:t>
      </w:r>
    </w:p>
    <w:p w:rsidR="00000000" w:rsidRDefault="00505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оригинальность, 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етривиальность, необычность высказываемых идей, ярко выраженное стремление к интеллектуальной новизне. Творческий человек почти везде и всегда старается найти свое собственное, отличное от других решение.</w:t>
      </w:r>
    </w:p>
    <w:p w:rsidR="00000000" w:rsidRDefault="00505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Семантическая гибкость, т.е. способность видеть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бъект под новым углом зрения, обнаруживать его новое использование, расширить функциональное применение на практике.</w:t>
      </w:r>
    </w:p>
    <w:p w:rsidR="00000000" w:rsidRDefault="00505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Образная адаптивная гибкость, т.е. способность изменять восприятие объекта таким образом, чтобы видеть его новые, скрытые от наблюдения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тороны.</w:t>
      </w:r>
    </w:p>
    <w:p w:rsidR="00000000" w:rsidRDefault="00505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Семантическая спонтанная гибкость, т.е. способность продуцировать разнообразные идеи в неопределенной ситуации, в частности в такой, которая не содержит ориентиров для этих идей. [19]</w:t>
      </w:r>
    </w:p>
    <w:p w:rsidR="00000000" w:rsidRDefault="00505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Позже Гилфорд выделяет 6 параметров креативности [8]:</w:t>
      </w:r>
    </w:p>
    <w:p w:rsidR="00000000" w:rsidRDefault="00505B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1.способ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ность к обнаружению и постановке проблем;</w:t>
      </w:r>
    </w:p>
    <w:p w:rsidR="00000000" w:rsidRDefault="00505B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.способность к генерированию большого числа идей;</w:t>
      </w:r>
    </w:p>
    <w:p w:rsidR="00000000" w:rsidRDefault="00505B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.гибкость - способность продуцировать разнообразные идеи;</w:t>
      </w:r>
    </w:p>
    <w:p w:rsidR="00000000" w:rsidRDefault="00505B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.оригинальность - способность отвечать на раздражители нестандартно;</w:t>
      </w:r>
    </w:p>
    <w:p w:rsidR="00000000" w:rsidRDefault="00505B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.способность усовершенствовать объект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добавляя детали;</w:t>
      </w:r>
    </w:p>
    <w:p w:rsidR="00000000" w:rsidRDefault="00505B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.способность решать проблемы, т.е. способности к синтезу и анализу.</w:t>
      </w:r>
    </w:p>
    <w:p w:rsidR="00000000" w:rsidRDefault="00505B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Э.П. Торренс, вслед за Дж. Гилфордом описывал креативность в терминах мышления, понимая творческое мышление «как процесс чувствования трудностей, проблем, брешей в инфор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мации, недостающих элементов, перекоса в чемто; построения догадок и формулировки гипотез, касающихся этих недостатков, оценки и тестирования этих догадок и гипотез; возможности их пересмотра и проверки и, наконец, обобщения результатов».</w:t>
      </w:r>
    </w:p>
    <w:p w:rsidR="00000000" w:rsidRDefault="00505B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Он определял креа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тивность как естественный процесс, который порождается сильной потребностью человека в снятии напряжения, возникающего в ситуации неопределенности или незавершенности.</w:t>
      </w:r>
    </w:p>
    <w:p w:rsidR="00000000" w:rsidRDefault="00505BD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С. Медник же в своей концепции подошел к пониманию креативности со стороны ассоциативног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процесса, полагая творческий процесс актуализацией отдаленных зон смыслового пространства. При этом творческое мышление рассматривается им как отклонение от стереотипов, способность их преодоления. Креативность рассматривается им как функция иерархии асс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оциаций, формирование новых смысловых связей. Он говорил о том, что в основе креативности лежит способность выходить за рамки стереотипных ассоциаций, работать с широким семантическим полем. [8]. В соответствии с этим С. Медник разработал Тест Отдаленных 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ссоциаций (RAT), используемый для диагностики вербальной креативности, она измеряется им как отдаленность ассоциации от стереотипа.</w:t>
      </w:r>
    </w:p>
    <w:p w:rsidR="00000000" w:rsidRDefault="00505BD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Одним из крупнейших исследователей творческого мышления среди отечественных психологов является Я.А. Пономарев. В своих рабо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тах Пономарев подчеркивает принципиальное отличие человеческого мышления от «мышления» машинного: «машина способна работать только с системами знаковых моделей и не способна работать с моделями надстроечно-базальными» [Цит. по 13, с. 173], т.е. субъектными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вторичными моделями действительности. Согласно его концепции первичных и вторичных объектных и субъектных моделей действительности, представляющих собой разные структурные уровни взаимодействия субъекта и объекта, для решения творческих задач в первую оче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редь требуется «способность действовать в уме» (СДУ), отсутствующая у животных, и определяемая высоким уровнем развития внутреннего плана действий (ВПД). [8]. В качестве ментальной единицы творческости мышления Пономарев предлагает рассматривать разность 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ровней, доминирующих при постановке и решении задач [13].</w:t>
      </w:r>
    </w:p>
    <w:p w:rsidR="00000000" w:rsidRDefault="00505B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Другой признанный исследователь, Д.Б. Богоявленская, подходит к исследованию творческого мышления с позиций системного подхода и предлагает выделить в качестве единицы исследования творчества интелл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ектуальную активность.</w:t>
      </w:r>
    </w:p>
    <w:p w:rsidR="00000000" w:rsidRDefault="00505B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Выдвигая ее в качестве психологического аспекта изучения творчества, она утверждает, что «мерой интеллектуальной активности, ее наиболее важной качественной характеристикой, может служить интеллектуальная инициатива, понимаемая как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родолжение мыслительной деятельности за пределами ситуативной заданности, не обусловленное ни практическими нуждами, ни внешней или субъективной отрицательной оценкой работы» [Цит. по 1, с. 191]. Таким образом, она рассматривает творчество как «дериват инт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еллекта, преломленного через мотивационную структуру, которая либо тормозит, либо стимулирует умственные способности». [Цит. по 1, с. 194]</w:t>
      </w:r>
    </w:p>
    <w:p w:rsidR="00000000" w:rsidRDefault="00505B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Важно отметить, что, несмотря на многочисленные исследования, многие вопросы до сих пор остаются дискуссионными. Напр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имер, большинство исследований строятся с использованием творческих задач, в то же время до сих пор не существует единого мнения о том, какие же задачи считать творческими. Отечественным представителем информационного подхода Г.А. Голицыным [7] предложен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ледующий критерий: если решение (или множество решений) задачи лежит за пределами множества исходных представлений (т.е. сферы сознания) субъекта, то именно такую задачу мы можем считать творческой. В настоящее время известны и широко применяются тесты кре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ативности Е.П. Торренса. Одним из которых является тест «Завершения картинок», его целью является диагностика уровня невербальной креативности. В тесте используются следующие показатели креативности:</w:t>
      </w:r>
    </w:p>
    <w:p w:rsidR="00000000" w:rsidRDefault="00505B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Оригинальность, выявляющая степень непохожести созданн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ого испытуемым изображения на изображения других испытуемых (статистическая редкость ответа).</w:t>
      </w:r>
    </w:p>
    <w:p w:rsidR="00000000" w:rsidRDefault="00505B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Уникальность, определяемая как сумма выполненных заданий, не имеющих аналогов в выборке.</w:t>
      </w:r>
    </w:p>
    <w:p w:rsidR="00000000" w:rsidRDefault="00505B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Исследователи также до сих пор так и не пришли к единому мнению, какие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же личностные особенности считать основными для креативной личности. Наиболее часто современными исследователями упоминаются такие индивидуальные особенности творческой личности, как независимость в суждениях, самоуважение, предпочтение сложных задач, разв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итое чувство прекрасного, склонность к риску, специфическое восприятие действительности, высокая внутренняя мотивация и эмоциональная лабильность.</w:t>
      </w:r>
    </w:p>
    <w:p w:rsidR="00000000" w:rsidRDefault="00505B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Подводя итоги, мы можем отметить, что изучение творческое мышление началась еще в античности и продолжается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наши дни. Творческое мышление исследователи понимают по-разному. Так Вюрцбургская школа определяет мышление как процесс решения проблем и выделяют его как самостоятельную деятельность. По мнению З. Фрейда, творческий продукт является результатом косвенног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выражения сексуальной и агрессивной энергии. А. Адлер же трактовал творчество как специфический способ компенсации комплекса неполноценности. К. Юнг рассматривал стремление к творчеству как часть базовой энергии либидо. В Генштальт-психологии мышление 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ссматривалсь как деятельность последовательного переструктурирования, продолжающегося вплоть до нахождения необходимого по ситуации гештальта, что и было названо «инсайтом», или «озарением» Психологи-гуманисты (Г. Олпорт, А. Маслоу) считали, что первоначал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ьный источник творчества - мотив личностного роста. В рамках психометрического подхода можно выделить концепцию креативности Дж. Гилфорда и Э.П. Торренса, представляющую креативность как универсальную познавательную творческую способность.</w:t>
      </w:r>
    </w:p>
    <w:p w:rsidR="00000000" w:rsidRDefault="00505B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Торренс определя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 креативность как естественный процесс, который порождается сильной потребностью человека в снятии напряжения, возникающего в ситуации неопределенности или незавершенности. Гилфорд выделил два типа мышления: конвергентное и дивергентное.</w:t>
      </w:r>
    </w:p>
    <w:p w:rsidR="00000000" w:rsidRDefault="00505B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Отечественный пси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холог Я.А. Пономарев. полагал, что для решения творческих задач в первую очередь требуется «способность действовать в уме» (СДУ), отсутствующая у животных, и определяемая высоким уровнем развития внутреннего плана действий (ВПД). С позиции системного подхо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да Д.Б. Богоявленская предлагает выделить в качестве единицы исследования творчества интеллектуальную активность.</w:t>
      </w:r>
    </w:p>
    <w:p w:rsidR="00000000" w:rsidRDefault="00505BDE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505BDE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505BD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:rsidR="00000000" w:rsidRDefault="00505BDE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 Выявление взаимосвязи стрессоустойчивости и творческого мышления</w:t>
      </w:r>
    </w:p>
    <w:p w:rsidR="00000000" w:rsidRDefault="00505BDE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505BDE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.1 База, ход и организация исследования</w:t>
      </w:r>
    </w:p>
    <w:p w:rsidR="00000000" w:rsidRDefault="00505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505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Данное исследование проводил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ось на базе ГОБУ ВПО «ИГУ».</w:t>
      </w:r>
    </w:p>
    <w:p w:rsidR="00000000" w:rsidRDefault="00505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Выборка состояла из 20 студентов, обучающихся на 1-5 курсах факультета психологии в возрасте от 17 до 22 лет.</w:t>
      </w:r>
    </w:p>
    <w:p w:rsidR="00000000" w:rsidRDefault="00505BD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Мы поставили перед собой следующую цель исследования: выявить взаимосвязь стрессоустойчивости с творческим мышлением.</w:t>
      </w:r>
    </w:p>
    <w:p w:rsidR="00000000" w:rsidRDefault="00505BD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Гипотеза исследования: Между стрессоустойчивостью и творческим мышление есть прямая взаимосвязь.</w:t>
      </w:r>
    </w:p>
    <w:p w:rsidR="00000000" w:rsidRDefault="00505BD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исследовании были использованы следующие методы: методика «Опросник «Потери и приобретения персональных ресурсов» Н. Водопьяновой и М. Штейн, тест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Завершени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картинок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» 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методика Е. Торренса, адаптирована А.Н. Ворониным); Тест Отдаленных Ассоциаций (методика С. Медника, адаптирована А.Н. Ворониным); корреляционный анализ с помощью коэффициента корреляции Пирсона.</w:t>
      </w:r>
    </w:p>
    <w:p w:rsidR="00000000" w:rsidRDefault="00505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ходе исследования мы сначала применили методи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ку «ОППР» Н. Водопьяновой и М. Штейн.</w:t>
      </w:r>
    </w:p>
    <w:p w:rsidR="00000000" w:rsidRDefault="00505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Данная методика представляет собой опросник, который состоит из двух частей. Респондентам предлагается оценить по 5-балльной шкале степень напряженности переживаний по каждому пункту опросника: 1 балл - «нет такого ощу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щения»; 2 балла - «переживание в малой степени»; 3 балла - «Переживание средней степени»; 4 балла - «переживание в значительной степени»; 5 баллов - «переживание очень сильное». В первой части оцениваются ощущения относительно потерь, во второй - приобрете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ний.</w:t>
      </w:r>
    </w:p>
    <w:p w:rsidR="00000000" w:rsidRDefault="00505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 помощью этой методики производится оценка динамического взаимодействия потерь и приобретений личностных ресурсов. В контексте этой методики ресурсы понимаются как значимые материальные средства (материальный доход, дом, транспорт, одежда, объектные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фетиши) и нематериальные конструкты (желания, цели, система верования, идеи, убеждения), внешние (социальная поддержка, семья, друзья, работа, социальный статус) и внутренние - интраперсональные переменные (самоуважение, профессиональные умения, оптимизм,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самоконтроль, жизненные ценности, система верований и др.), состояние душевного и физического благополучия, волевые, эмоциональные и энергетические характеристики, которые необходимы (прямо или косвенно) для преодоления реальных или предполагаемых стрессов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жизни.</w:t>
      </w:r>
    </w:p>
    <w:p w:rsidR="00000000" w:rsidRDefault="00505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Затем мы провели исследование уровня креативности студентов в два этапа.</w:t>
      </w:r>
    </w:p>
    <w:p w:rsidR="00000000" w:rsidRDefault="00505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первом этапе респондентам был предложен Тест Отдаленных Ассоциаций (методика С. Медника, адаптирована А.Н. Ворониным), который используется для диагностики вербальной креат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ивности (словесное творческое мышление). Методика направлена на выявление и оценку существующего у испытуемых, но часто скрытого или блокируемого вербального креативного потенциала. Приципы оценки креативности этой методики: индекс оригинальности как сумма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индексов оригинальности (т.е. обратных величин по отношению к частоте встречаемости ответа в выборке) отдельных ответов, отнесенная к общему числу ответов; индекс уникальности как отношение количества уникальных (не встречающихся в выборке) ответов к обще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му их количеству.</w:t>
      </w:r>
    </w:p>
    <w:p w:rsidR="00000000" w:rsidRDefault="00505BDE">
      <w:pPr>
        <w:widowControl w:val="0"/>
        <w:tabs>
          <w:tab w:val="left" w:pos="212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 втором этапе для диагностики невербальной креативности (изобразительное творческое мышление) мы провели тест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Завершения картинок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Торренса.</w:t>
      </w:r>
    </w:p>
    <w:p w:rsidR="00000000" w:rsidRDefault="00505BDE">
      <w:pPr>
        <w:widowControl w:val="0"/>
        <w:tabs>
          <w:tab w:val="left" w:pos="212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Тест представляет собой набор картинок с некоторым набором элементов (линий), используя которы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е, испытуемым необходимо дорисовать картинку до некоторого осмысленного изображения. В данном варианте теста используется 6 картинок, которые не дублируют по своим исходным элементам друг друга и дают наиболее надежные результаты.</w:t>
      </w:r>
    </w:p>
    <w:p w:rsidR="00000000" w:rsidRDefault="00505BDE">
      <w:pPr>
        <w:widowControl w:val="0"/>
        <w:tabs>
          <w:tab w:val="left" w:pos="212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тесте отражаются следую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щие показатели креативности:</w:t>
      </w:r>
    </w:p>
    <w:p w:rsidR="00000000" w:rsidRDefault="00505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Оригинальность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(Ор), выявляющая степень непохожести созданного испытуемым изображения на изображения других испытуемых (статистическая редкость ответа). Оригинальность - это психическое явление, при котором создаётся новый обра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з. На основе уже имеющих образов и ассоциаций, при чем этот созданный образ присущ только одной личности.</w:t>
      </w:r>
    </w:p>
    <w:p w:rsidR="00000000" w:rsidRDefault="00505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Уникальность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(Ун), определяемая как сумма выполненных заданий, не имеющих аналогов в выборке (атласе наиболее повторяющихся рисунков).</w:t>
      </w:r>
    </w:p>
    <w:p w:rsidR="00000000" w:rsidRDefault="00505BDE">
      <w:pPr>
        <w:widowControl w:val="0"/>
        <w:tabs>
          <w:tab w:val="left" w:pos="212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повышения 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ачества тестирования креативности мы соблюдали такие основные параметры креативной среды, как:</w:t>
      </w:r>
    </w:p>
    <w:p w:rsidR="00000000" w:rsidRDefault="00505BDE">
      <w:pPr>
        <w:widowControl w:val="0"/>
        <w:tabs>
          <w:tab w:val="left" w:pos="1440"/>
          <w:tab w:val="left" w:pos="212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отсутствие ограничения по времени;</w:t>
      </w:r>
    </w:p>
    <w:p w:rsidR="00000000" w:rsidRDefault="00505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минимизация мотивации достижения;</w:t>
      </w:r>
    </w:p>
    <w:p w:rsidR="00000000" w:rsidRDefault="00505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отсутствие соревновательной мотивации и критики действий;</w:t>
      </w:r>
    </w:p>
    <w:p w:rsidR="00000000" w:rsidRDefault="00505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отсутствие в тестовой ин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струкции жесткой установки на творчество.</w:t>
      </w:r>
    </w:p>
    <w:p w:rsidR="00000000" w:rsidRDefault="00505BDE">
      <w:pPr>
        <w:widowControl w:val="0"/>
        <w:tabs>
          <w:tab w:val="left" w:pos="212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Следовательно, условия креативной среды создают возможности проявления креативности, при этом высокие показатели тестирования значимо выявляют креативных личностей.</w:t>
      </w:r>
    </w:p>
    <w:p w:rsidR="00000000" w:rsidRDefault="00505BDE">
      <w:pPr>
        <w:widowControl w:val="0"/>
        <w:tabs>
          <w:tab w:val="left" w:pos="212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то же время низкие результаты тестирования не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видетельствуют об отсутствии креативности у испытуемого, так как творческие проявления спонтанны и неподвластны произвольной регуляции.</w:t>
      </w:r>
    </w:p>
    <w:p w:rsidR="00000000" w:rsidRDefault="00505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Таким образом, методики диагностики творческих способностей предназначены, в первую очередь, для фактического определени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креативных личностей в конкретной выборке на момент тестирования.</w:t>
      </w:r>
    </w:p>
    <w:p w:rsidR="00000000" w:rsidRDefault="00505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этапе обработки данных мы использовали интерпретационный материал, предложенный авторами методик, а для выявления взаимосвязи был использован коэффициент корреляции Пирсона, который так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же позволяет выявить прямопропоциональна или обратнопропорциональна зависимость.</w:t>
      </w:r>
    </w:p>
    <w:p w:rsidR="00000000" w:rsidRDefault="00505BD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Таким образом, база нашего исследования - ГОБУ ВПО «ИГУ». Выборка: 20 студентов - психологов (17-20 лет), обучающихся на 1-5 курсах.</w:t>
      </w:r>
    </w:p>
    <w:p w:rsidR="00000000" w:rsidRDefault="00505BD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Цель исследования: выявить взаимосвязь стр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ессоустойчивости с творческим мышлением. Гипотеза исследования: между стрессоустойчивостью и творческим мышление есть прямая взаимосвязь.</w:t>
      </w:r>
    </w:p>
    <w:p w:rsidR="00000000" w:rsidRDefault="00505BD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исследовании были использованы следующие методы: методика «Потери и приобретения персональных ресурсов» Н. Водопьяно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вой и М. Штейн, тест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Завершения картинок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» 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методика Е. Торренса, адаптирована А.Н. Ворониным); Тест Отдаленных Ассоциаций (методика С. Медника, адаптирована А.Н. Ворониным); корреляционный анализ с помощью коэффициента корреляции Пирсона.</w:t>
      </w:r>
    </w:p>
    <w:p w:rsidR="00000000" w:rsidRDefault="00505BDE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505BDE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2.2 Результаты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исследования</w:t>
      </w:r>
    </w:p>
    <w:p w:rsidR="00000000" w:rsidRDefault="00505BDE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505BDE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Проведя исследование, направленное на выявление взаимосвязи стрессоустойчивости и творческого мышления у студентов, мы получили следующие результаты.</w:t>
      </w:r>
    </w:p>
    <w:p w:rsidR="00000000" w:rsidRDefault="00505BDE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Обрабатывая методику «Потери и приобретения персональных ресурсов» Н. Водопьяновой и М. Штей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н, мы подсчитали индекс ресурсности (ИР), который и является показателем стрессоустойчивости. Чем больше ИР, тем больше сбалансированы жизненные разочарования и достижения и выше адаптационный потенциал личности, меньше стрессовая уязвимость. Мы определили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уровень стрессоустойчивости согласно следующим показателям: низкий уровень ниже 0,8; средний 0,8-1,2; высокий выше 1,2 (см. табл.)</w:t>
      </w:r>
    </w:p>
    <w:p w:rsidR="00000000" w:rsidRDefault="00505BDE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505BD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:rsidR="00000000" w:rsidRDefault="00505BDE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Результаты проведения методики «Потери и приобретения персональных ресурсов» Н. Водопьяновой и М. Штейн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8"/>
        <w:gridCol w:w="1592"/>
        <w:gridCol w:w="1854"/>
        <w:gridCol w:w="1367"/>
        <w:gridCol w:w="2676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5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Номер испытуемого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5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Ресурсы потерь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5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Ресурсы приобретений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5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ИР</w:t>
            </w:r>
          </w:p>
        </w:tc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5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Уровень стрессоустойчивости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5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5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5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5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0,54</w:t>
            </w:r>
          </w:p>
        </w:tc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5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низкий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5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5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5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5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0,59</w:t>
            </w:r>
          </w:p>
        </w:tc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5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низкий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5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5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5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5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0,61</w:t>
            </w:r>
          </w:p>
        </w:tc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5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низкий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5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5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5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5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0,62</w:t>
            </w:r>
          </w:p>
        </w:tc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5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низкий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5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5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5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5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0,72</w:t>
            </w:r>
          </w:p>
        </w:tc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5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низкий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5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5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5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5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5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5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5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5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5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0,97</w:t>
            </w:r>
          </w:p>
        </w:tc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5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5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5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5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5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1,01</w:t>
            </w:r>
          </w:p>
        </w:tc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5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5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5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5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5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1,02</w:t>
            </w:r>
          </w:p>
        </w:tc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5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ср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5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5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5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5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1,05</w:t>
            </w:r>
          </w:p>
        </w:tc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5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5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5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5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5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1,12</w:t>
            </w:r>
          </w:p>
        </w:tc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5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5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5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5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5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1,28</w:t>
            </w:r>
          </w:p>
        </w:tc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5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5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5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5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5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1,32</w:t>
            </w:r>
          </w:p>
        </w:tc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5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5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5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5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5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1,45</w:t>
            </w:r>
          </w:p>
        </w:tc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5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5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5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5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5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1,72</w:t>
            </w:r>
          </w:p>
        </w:tc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5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5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5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5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5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1,75</w:t>
            </w:r>
          </w:p>
        </w:tc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5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5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5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5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5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5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5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5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5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5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1,96</w:t>
            </w:r>
          </w:p>
        </w:tc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5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5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5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5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5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2,02</w:t>
            </w:r>
          </w:p>
        </w:tc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5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5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5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5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5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2,04</w:t>
            </w:r>
          </w:p>
        </w:tc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5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ысокий</w:t>
            </w:r>
          </w:p>
        </w:tc>
      </w:tr>
    </w:tbl>
    <w:p w:rsidR="00000000" w:rsidRDefault="00505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505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Анализируя результаты исследования стрессоустойчивости студентов-психологов, мы пришли к выводу, что практически половина респондентов исследования (45%) обладают высоким уровнем стрессоустойчивости, чуть меньшему количеству респондентов (30%) сво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йственен средний уровень, и 25% студентов имею низкий уровень стрессоустойчивости. Средний индекс ресурсности у данной группы равен 1, что соответствует среднему уровню стрессоустойчивости, это, в целом, говорит о том, что студенты-психологи готовы противо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стоять стрессорам.</w:t>
      </w:r>
    </w:p>
    <w:p w:rsidR="00000000" w:rsidRDefault="00505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анализа результатов Теста Отдаленных Ассоциаций (методика С. Медника, адаптирована А.Н. Ворониным), который используется для диагностики вербальной креативности, мы сопоставили ответы испытуемых с имеющимися типичными ответами, предл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оженными составителем теста и при нахождении схожего типа присвоить данному ответу оригинальность, указанную в списке. Если в списке не было такого слова, то оригинальность данного ответа считали равной 1,00. Индекс оригинальности подсчитывался нами как ср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еднее арифметическое оригинальностей всех ответов. Индекс уникальности равен количеству всех уникальных (не имеющих аналогов в типовом перечне) ответов. При этом индекс уникальности, показывающий, насколько действительно новое может создать человек, в этом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анализе является вторичным из-за недостаточной дифференцирующей силы данного индекса, поэтому определяющим здесь можно считать суммарный индекс оригинальности. Мы определяли уровень креативности следующим образом: высокий уровень соответствует индексу ори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гинальности равному 0,68 - 1,00, средний - 0,58 - 0,67; низкий - 0,57 и ниже (см. табл.)</w:t>
      </w:r>
    </w:p>
    <w:p w:rsidR="00000000" w:rsidRDefault="00505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505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Результаты проведения Теста Отдаленных Ассоциаций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61"/>
        <w:gridCol w:w="2566"/>
        <w:gridCol w:w="2283"/>
        <w:gridCol w:w="2287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5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Номер испытуемого</w:t>
            </w:r>
          </w:p>
        </w:tc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5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Индекс оригинальности</w:t>
            </w:r>
          </w:p>
        </w:tc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5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Индекс уникальности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5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Уровень креативности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5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5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0,67</w:t>
            </w:r>
          </w:p>
        </w:tc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5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5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5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5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0,48</w:t>
            </w:r>
          </w:p>
        </w:tc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5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5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низкий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5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5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0,35</w:t>
            </w:r>
          </w:p>
        </w:tc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5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5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низкий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5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5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0,71</w:t>
            </w:r>
          </w:p>
        </w:tc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5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5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5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</w:t>
            </w:r>
          </w:p>
        </w:tc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5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0,58</w:t>
            </w:r>
          </w:p>
        </w:tc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5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5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5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</w:t>
            </w:r>
          </w:p>
        </w:tc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5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0,58</w:t>
            </w:r>
          </w:p>
        </w:tc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5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5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5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</w:t>
            </w:r>
          </w:p>
        </w:tc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5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0,49</w:t>
            </w:r>
          </w:p>
        </w:tc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5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5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низкий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5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</w:t>
            </w:r>
          </w:p>
        </w:tc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5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0,78</w:t>
            </w:r>
          </w:p>
        </w:tc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5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5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5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</w:t>
            </w:r>
          </w:p>
        </w:tc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5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0,48</w:t>
            </w:r>
          </w:p>
        </w:tc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5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5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низкий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5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5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0,89</w:t>
            </w:r>
          </w:p>
        </w:tc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5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5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5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5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5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5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5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5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0,58</w:t>
            </w:r>
          </w:p>
        </w:tc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5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5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5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5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0,67</w:t>
            </w:r>
          </w:p>
        </w:tc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5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5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5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5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0,69</w:t>
            </w:r>
          </w:p>
        </w:tc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5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5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5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5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5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5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5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5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0,78</w:t>
            </w:r>
          </w:p>
        </w:tc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5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5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5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5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5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5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5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5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0,79</w:t>
            </w:r>
          </w:p>
        </w:tc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5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5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5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5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5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5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5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5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0,89</w:t>
            </w:r>
          </w:p>
        </w:tc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5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5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высокий</w:t>
            </w:r>
          </w:p>
        </w:tc>
      </w:tr>
    </w:tbl>
    <w:p w:rsidR="00000000" w:rsidRDefault="00505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505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Исходя анализа результатов исследования вербальной креативности студентов, обучающихся на факультете психологии, мы пришли к следующему. Ровно половина исследованных студентов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(50%) имеет высокий уровень вербальной креативности, у 30% респондентов вербальная креативность на среднем уровне, и меньшая часть студентов-психологов (20%) обладает низким уровнем вербальной креативности. Средний индекс оригинальности составляет 0,66, 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 соответствует среднему уровню вербальной креативности с тенденцией к высокому, это, в свою очередь, означает то, что у студентов психологов развито словесное творческое мышление и они обладают хорошим вербальным креативным потенциалом.</w:t>
      </w:r>
    </w:p>
    <w:p w:rsidR="00000000" w:rsidRDefault="00505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обработки тес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та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Завершения картинок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» 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методика Е. Торренса, адаптирована А.Н. Ворониным) был использован атлас типичных рисунков, предложенный составителем теста. Как было сказано в прошлом параграфе, результаты теста были оценены по двум критериям. Индекс оригинально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сти подсчитывался как среднее арифметическое оригинальностей всех картинок, индекс уникальности - как сумма всех уникальных картинок. Как и в предыдущем случае, индекс уникальности, показывающий, насколько действительно новое может создать человек, в этом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анализе является вторичным из-за недостаточной дифференцирующей силы данного индекса, поэтому определяющим здесь можно считать суммарный индекс оригинальности. Мы определяли уровень креативности следующим образом: высокий уровень соответствует индексу ориг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инальности равному 0,68 - 1,00, средний - 0,58 - 0,67; низкий - 0,57 и ниже. (см. табл.)</w:t>
      </w:r>
    </w:p>
    <w:p w:rsidR="00000000" w:rsidRDefault="00505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505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Результаты проведения теста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Завершение картинок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»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59"/>
        <w:gridCol w:w="2461"/>
        <w:gridCol w:w="2244"/>
        <w:gridCol w:w="2233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5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Номер испытуемого</w:t>
            </w:r>
          </w:p>
        </w:tc>
        <w:tc>
          <w:tcPr>
            <w:tcW w:w="2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5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Индекс оригинальности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5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Индекс уникальности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5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Уровень креативности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5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5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0,73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5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5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5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5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0,79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5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5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5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5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0,73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5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5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5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5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0,83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5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5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5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</w:t>
            </w:r>
          </w:p>
        </w:tc>
        <w:tc>
          <w:tcPr>
            <w:tcW w:w="2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5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0,83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5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5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5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</w:t>
            </w:r>
          </w:p>
        </w:tc>
        <w:tc>
          <w:tcPr>
            <w:tcW w:w="2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5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0,79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5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5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5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</w:t>
            </w:r>
          </w:p>
        </w:tc>
        <w:tc>
          <w:tcPr>
            <w:tcW w:w="2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5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0,83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5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5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5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</w:t>
            </w:r>
          </w:p>
        </w:tc>
        <w:tc>
          <w:tcPr>
            <w:tcW w:w="2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5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0,94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5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5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5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</w:t>
            </w:r>
          </w:p>
        </w:tc>
        <w:tc>
          <w:tcPr>
            <w:tcW w:w="2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5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0,91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5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5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5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5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0,94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5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5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5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5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0,83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5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5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5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5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0,83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5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5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5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5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0,81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5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5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5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5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0,71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5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5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5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5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0,64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5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5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5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5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0,89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5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5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высо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5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5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0,74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5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5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5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5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0,95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5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5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5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5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0,83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5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5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5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5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0,88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5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5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высокий</w:t>
            </w:r>
          </w:p>
        </w:tc>
      </w:tr>
    </w:tbl>
    <w:p w:rsidR="00000000" w:rsidRDefault="00505BDE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505BDE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После анализа данных, полученных в ходе исследования невербальной креативности у студентов-психологов, мы сделали следующие выводы. Уровень невербальной креативности у подавл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яющего большинства респондентов (95%) высокий. Средний индекс оригинальности составляет 0,82 (высокий уровень невербальной креативности), что говорит о хорошо сформированном изобразительном творческом мышлении у студентов, обучающихся на факультете психоло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гии.</w:t>
      </w:r>
    </w:p>
    <w:p w:rsidR="00000000" w:rsidRDefault="00505BDE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Затем для выявления взаимосвязи стрессоустойчивости и вербальной креативности мы провели корреляционный анализ с помощью коэффициента Пирсона, используя следующую формулу:</w:t>
      </w:r>
    </w:p>
    <w:p w:rsidR="00000000" w:rsidRDefault="00505BDE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A72325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5052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05BDE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505BDE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итоге мы получили коэффициент равный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0, 5, который находиться в зоне значимости.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:rsidR="00000000" w:rsidRDefault="00A72325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800600" cy="6381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05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505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Полученный коэффициент корреляции совпал с критическим значением для уровня значимости в 5%. Следовательно, можно утверждать, что стрессоустойчивость и вербальная креативнос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ть студентов-психологов связаны положительной корреляционной зависимостью - иначе говоря, чем выше уровень стрессоустойчивости, тем выше уровень креативности. Значит, между стрессоустойчивостью студентов-психологов и их словесным творческим мышление есть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рямая взаимосвязь.</w:t>
      </w:r>
    </w:p>
    <w:p w:rsidR="00000000" w:rsidRDefault="00505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Таким же образом мы сопоставили невербальную креативность и стрессоустойчивость.</w:t>
      </w:r>
    </w:p>
    <w:p w:rsidR="00000000" w:rsidRDefault="00505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Коэффициент в этом случае получился равный 0,12. Мы определили, что он находится в зоне незначимости.</w:t>
      </w:r>
    </w:p>
    <w:p w:rsidR="00000000" w:rsidRDefault="00505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A7232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943225" cy="6381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05BD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505BD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основе этого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мы можем заключить, что связь между стрессоустойчивостью и невербальной креативностью отсутствует. Значит, стрессоустойчивость студентов-психологов не связана с их изобразительным творческим мышлением.</w:t>
      </w:r>
    </w:p>
    <w:p w:rsidR="00000000" w:rsidRDefault="00505BD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Таким образом, мы можем сказать, что наша гипотеза ча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стично подтвердилась: между стрессоустойчивостью и словесным творческим мышление есть прямая взаимосвязь, причем между стрессоустойчивостью и изобразительным творческим мышлением взаимосвязь не прослеживается.</w:t>
      </w:r>
    </w:p>
    <w:p w:rsidR="00000000" w:rsidRDefault="00505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Итак, согласно анализу результатов исследовани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стрессоустойчивости студентов-психологов, 45% характерен высокий уровень стрессоустойчивости, 30% - средний и 25% - низкий; средний индекс ресурсности у данной группы равен 1, что соответствует среднему уровню стрессоустойчивости, это, в целом, говорит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том, что студенты-психологи готовы противостоять стрессорам.</w:t>
      </w:r>
    </w:p>
    <w:p w:rsidR="00000000" w:rsidRDefault="00505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Исходя анализа результатов исследования вербальной креативности студентов, обучающихся на факультете психологии, мы делаем вывод, что 50% студентов имеет высокий уровень вербальной креативности,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у 30% - вербальная креативность на среднем уровне, 20% - обладает низким уровнем вербальной креативности. Средний индекс оригинальности составляет 0,66, что соответствует среднему уровню вербальной креативности с тенденцией к высокому, это, в свою очередь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означает то, что у студентов психологов развито словесное творческое мышление и они обладают хорошим вербальным креативным потенциалом. После анализа данных, полученных в ходе исследования невербальной креативности у студентов-психологов, мы сделали след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ующие выводы: у 95% уровень невербальной креативности высокий, у 5% - средний. Средний индекс оригинальности составляет 0,82 (высокий уровень невербальной креативности), что говорит о хорошо сформированном изобразительном творческом мышлении у студентов,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бучающихся на факультете психологии.</w:t>
      </w:r>
    </w:p>
    <w:p w:rsidR="00000000" w:rsidRDefault="00505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Также мы выявили, что стрессоустойчивость и вербальная креативность студентов-психологов связаны положительной корреляционной зависимостью - иначе говоря, чем выше уровень стрессоустойчивости, тем выше уровень креативно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сти. Кроме этого нам удалось выявить, что связь между стрессоустойчивостью и невербальной креативностью отсутствует.</w:t>
      </w:r>
    </w:p>
    <w:p w:rsidR="00000000" w:rsidRDefault="00505BD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Подводя итог, мы можем сказать, что наша гипотеза частично подтвердилась: между стрессоустойчивостью и словесным творческим мышление есть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рямая взаимосвязь, причем между стрессоустойчивостью и изобразительным творческим мышлением взаимосвязь не прослеживается.</w:t>
      </w:r>
    </w:p>
    <w:p w:rsidR="00000000" w:rsidRDefault="00505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505BD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:rsidR="00000000" w:rsidRDefault="00505B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Заключение</w:t>
      </w:r>
    </w:p>
    <w:p w:rsidR="00000000" w:rsidRDefault="00505B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505BDE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курсовой работе мы рассмотрели понятие стрессоустойчивости и творческого мышления.</w:t>
      </w:r>
    </w:p>
    <w:p w:rsidR="00000000" w:rsidRDefault="00505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Мы выделили, что стрессоустойчиво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сть - это самооценка способности и возможности преодоления экстремальной ситуации связана с ресурсом личности или запасом, потенциалом различных структурно-функциональных характеристик, обеспечивающих общие виды жизнедеятельности и специфические формы пове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дения, реагирования, адаптации и т.д.; это основная индивидная характеристика содержания стресса. Мы рассмотрели взгляды различных авторов по этой проблеме. И выявили, что такие авторы, как Л. Мерфи, Р. Лазарус, С. Фолкман, Д. Амирхан, Н. Сирота относят к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стрессоустойчивости копинг-механизмы и механизмы психологической защиты. Другие рассматривают ее как барьер психической адаптации. Мы проанализировали ресурсную концепцию психологического стресса Хобфолла и обратили внимание на то, что некоторые авторы рас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сматривают стрессоустойчивость как одну из подструктур готовности человека к деятельности в напряженных ситуациях.</w:t>
      </w:r>
    </w:p>
    <w:p w:rsidR="00000000" w:rsidRDefault="00505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Анализирую научную литературу по проблеме творческого мышления, мы пришли в выводу, что творческое мышление исследователи понимают по-разному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Мы рассмотрели взгляды Вюрцбургской школы, которая определяет мышление как процесс решения проблем и выделяет его как самостоятельную деятельность. Проанализировали психоаналитический подход, в рамках которого впервые была предпринята попытка выделения ф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актора, лежащего в основе мыслительной активности. Изучили точки зрения генштальт-психологв и психологов-гуманистов. Рассмотрели психометрического подхода, в рамках которого выделяется концепция креативности Дж. Гилфорда и Э.П. Торренса, представляющая кре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ативность как универсальную познавательную творческую способность. Также разобрали взгляды отечественных психологов, изучающих творческое мышление, таких как Я.А. Пономарев и Д.Б. Богоявленская.</w:t>
      </w:r>
    </w:p>
    <w:p w:rsidR="00000000" w:rsidRDefault="00505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Затем мы обозначили базу, ход, организацию и результаты нашег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исследования.</w:t>
      </w:r>
    </w:p>
    <w:p w:rsidR="00000000" w:rsidRDefault="00505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Указали, что базой является ГОБУ ВПО «ИГУ». Наша выборка составила 20 студентов - психологов (17-20 лет), обучающихся на 1-5 курсах. Мы определили цель исследования: выявить взаимосвязь стрессоустойчивости с творческим мышлением и его гипот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езу: между стрессоустойчивостью и творческим мышление есть прямая взаимосвязь. Описали методы, использованные в исследовании: методика «Потери и приобретения персональных ресурсов» Н. Водопьяновой и М. Штейн, тест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Завершения картинок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» 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методика Е. Торренс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а, адаптирована А.Н. Ворониным); Тест Отдаленных Ассоциаций (методика С. Медника, адаптирована А.Н. Ворониным); корреляционный анализ с помощью коэффициента корреляции Пирсона.</w:t>
      </w:r>
    </w:p>
    <w:p w:rsidR="00000000" w:rsidRDefault="00505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Помимо непосредственного выявления наличия взаимосвязи стрессоустойчивости и тв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орческого мышления студентов-психологов, мы также получили и дополнительные результаты нашего исследования. Так анализируя данные, полученные в ходе изучения стрессоустойчивости, мы обнаружили, что студентам-психологам, в среднем, свойственен средний урове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нь стрессоустойчивости. Почти у половины (45%) студентов уровень стрессоустойчивости высокий. Это хороший показатель, который свидетельствует о том, что студенты, в целом, готовы справляться со стрессовыми ситуациями. При анализе данных исследования креати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вности, мы увидели, что уровень невербальной креативности у студентов-психологов выше, чем невербальной. Возможно, это связанно с тем, по-нашему мнению, что диагностика невербальной креативности затрагивает более скрытый, мы бы сказали глубинный творческий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потенциал, диагностика же вербальной креативности - в той или иной степени уже раскрытый, реализованный. Мы думаем, возможно именно эти отличия повлияли на дальнейшее исследование. Итак, будущие психологи проявляю высокую креативность, что должно хорошо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казаться на их формирование, как профессионалов в своей будущей профессии.</w:t>
      </w:r>
    </w:p>
    <w:p w:rsidR="00000000" w:rsidRDefault="00505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Наконец, мы подошли к заключительной части нашей курсовой работы - непосредственно к выявлению взаимосвязи стрессоустойчивости и творческого мышления. После проведения корреляционно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го исследования с помощью коэффициента Пирсона, мы выявили, что стрессоустойчивость и вербальная креативность студентов-психологов связаны положительной корреляционной зависимостью - иначе говоря, чем выше уровень стрессоустойчивости, тем выше уровень креа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тивности. Кроме этого нам удалось выявить, что связь между стрессоустойчивостью и невербальной креативностью отсутствует.</w:t>
      </w:r>
    </w:p>
    <w:p w:rsidR="00000000" w:rsidRDefault="00505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Таким образом, мы можем сказать, что наша гипотеза частично подтвердилась: между стрессоустойчивостью и словесным творческим мышление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есть прямая взаимосвязь, при этом между стрессоустойчивостью и изобразительным творческим мышлением взаимосвязь не прослеживается. Такое положение вещей связано, по нашему мнению, как мы уже сказали выше, с особенностями диагностик вербальной и невербально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 креативности. Вербальной форма креативности носит более осознанный характер, чем невербальной. Как мы считаем, эта форма реализованной креативности, той, которую человек научился применять в повседневной жизни, поэтому, возможно, и прослеживается взаимос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вязь стрессоустойчивости с ней.</w:t>
      </w:r>
    </w:p>
    <w:p w:rsidR="00000000" w:rsidRDefault="00505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Таким образом, поскольку стрессоустойчивость и невербальная креативность положительно коррелируют, то, в будущем, можно разработать и использовать упражнения, активизирующие невербальную креативность студентов-психологов, чт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обы помочь им справляться со стрессорами.</w:t>
      </w:r>
    </w:p>
    <w:p w:rsidR="00000000" w:rsidRDefault="00505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505BD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:rsidR="00000000" w:rsidRDefault="00505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Список использованной литературы</w:t>
      </w:r>
    </w:p>
    <w:p w:rsidR="00000000" w:rsidRDefault="00505B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505BD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Богоявленская Д.Б. Интеллектуальная активность как психологический аспект изучения творчества // Исследование проблем психологии творчества / Д.Б. Богоявленская; ред. Я.А. По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номарев. - М.: Наука, 1983. - С. 182 - 195.</w:t>
      </w:r>
    </w:p>
    <w:p w:rsidR="00000000" w:rsidRDefault="00505BD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Бодров, В.А. Психологический стресс: развитие и преодоление [Электронный ресурс]. - Электрон. текстовые дан. / В.А. Бодров - М.: ПЕР СЭ, 2011. - С. 93-340.</w:t>
      </w:r>
    </w:p>
    <w:p w:rsidR="00000000" w:rsidRDefault="00505BD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Варданян Б. X. Механизмы регуляции эмоциональной 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стойчивости // Категории, принципы и методы психологии. Психические процессы / Б.Х. Варданян. - М.: Наука, 1983. - С. 542-543.</w:t>
      </w:r>
    </w:p>
    <w:p w:rsidR="00000000" w:rsidRDefault="00505BD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Василюк Ф.Е. Психология переживания (анализ преодоления критических ситуаций) / Ф.Е. Василюк. - М.: Изд-во Моск. ун-та, 1984. 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200 с.</w:t>
      </w:r>
    </w:p>
    <w:p w:rsidR="00000000" w:rsidRDefault="00505BD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Величковский Б.Б. Многомерная оценка индивидуальной устойчивости к стрессу: автореф. дис….канд. психол. наук. - М.: ИПРАН, 2008. - 27 с.</w:t>
      </w:r>
    </w:p>
    <w:p w:rsidR="00000000" w:rsidRDefault="00505BD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Водопьянова Н.Е. Психодиагностика стресса / Н.Е. Водопьянова - СПб.: Питер, 2009. - 336 с.</w:t>
      </w:r>
    </w:p>
    <w:p w:rsidR="00000000" w:rsidRDefault="00505BD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Голицын Г.А.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нформационный подход в психологии творчества // Исследование проблем психологии творчества / Г.А. Голицин; ред. Я.А. Пономарев. - М.: Наука, 1983. - С. 210 - 231.</w:t>
      </w:r>
    </w:p>
    <w:p w:rsidR="00000000" w:rsidRDefault="00505BD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Дружинин В.Н. Психология общих способностей / В.Н. Дружинин. - СПб.: Питер Ком, 2009. - 368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с.</w:t>
      </w:r>
    </w:p>
    <w:p w:rsidR="00000000" w:rsidRDefault="00505BD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Ермолаев О.Ю. Математическая статистика для психологов / О.Ю. Ермолаев. - М.: МПСИ, 2011. - 335 с.</w:t>
      </w:r>
    </w:p>
    <w:p w:rsidR="00000000" w:rsidRDefault="00505BD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Зильберман П.Б. Эмоциональная устойчивость оператора // Очерки психологии труда оператора / П.Б. Зильберман. - М.: Наука, 1974. - С. 138-172.</w:t>
      </w:r>
    </w:p>
    <w:p w:rsidR="00000000" w:rsidRDefault="00505BD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Парце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рняк С.А. Стресс. Вегетозы. Психосоматика / С.А. Парцерняк. - М.: Академия, 2002. - 304 с.</w:t>
      </w:r>
    </w:p>
    <w:p w:rsidR="00000000" w:rsidRDefault="00505BD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Первин Л. Психология личности: Теории и исследования / Л. Первин, О. Джон; ред. В.С. Магун - М.: Аспект Пресс, 2008. - 607 с.</w:t>
      </w:r>
    </w:p>
    <w:p w:rsidR="00000000" w:rsidRDefault="00505BD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Пономарев Я.А. Психология творчеств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 / Я.А. Пономарев. - М.: Наука, 1976. - 304 с.</w:t>
      </w:r>
    </w:p>
    <w:p w:rsidR="00000000" w:rsidRDefault="00505BD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Селье Г. Стресс без дистресса / Г. Селье. - М.: Прогресс, 1979. - 123 с.</w:t>
      </w:r>
    </w:p>
    <w:p w:rsidR="00000000" w:rsidRDefault="00505BD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Тихомиров О.К. Психология мышления / О.К. Тихомиров. - М.: МГУ, 1984. - 270 с.</w:t>
      </w:r>
    </w:p>
    <w:p w:rsidR="00000000" w:rsidRDefault="00505BD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Китаев-Смык Л.А. Психология стресса / Л.А. Китаев-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Смык. - М.: Наука, 1983. - 367 с.</w:t>
      </w:r>
    </w:p>
    <w:p w:rsidR="00000000" w:rsidRDefault="00505BD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Лазарус Р. Теория стресса и психофизиологические исследования / Р. Лазарус. - Л.: Наука, 1970. - 178 с.</w:t>
      </w:r>
    </w:p>
    <w:p w:rsidR="00000000" w:rsidRDefault="00505BD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Мартьяненко В.Ф. Введение в философию: Учеб. пособие для студентов высш. учеб. заведений / В.Ф. Мартьяненко. - М.: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БГУ, 2006 - 124. с.</w:t>
      </w:r>
    </w:p>
    <w:p w:rsidR="00000000" w:rsidRDefault="00505BD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Немов Р.С. Общие основы психологии./ Р.С. Немов. - 3-е изд. - М.: Гуманит.изд. центр ВЛАДОС, 2007. - 688 с.</w:t>
      </w:r>
    </w:p>
    <w:p w:rsidR="00505BDE" w:rsidRDefault="00505BD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20.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ab/>
        <w:t>http://www.flogiston.ru</w:t>
      </w:r>
    </w:p>
    <w:sectPr w:rsidR="00505BD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325"/>
    <w:rsid w:val="00505BDE"/>
    <w:rsid w:val="00A72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61ECF6E-7A7B-4802-9560-090BE2A57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7266</Words>
  <Characters>41422</Characters>
  <Application>Microsoft Office Word</Application>
  <DocSecurity>0</DocSecurity>
  <Lines>345</Lines>
  <Paragraphs>97</Paragraphs>
  <ScaleCrop>false</ScaleCrop>
  <Company/>
  <LinksUpToDate>false</LinksUpToDate>
  <CharactersWithSpaces>48591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2</cp:revision>
  <dcterms:created xsi:type="dcterms:W3CDTF">2024-08-03T23:22:00Z</dcterms:created>
  <dcterms:modified xsi:type="dcterms:W3CDTF">2024-08-03T23:22:00Z</dcterms:modified>
</cp:coreProperties>
</file>