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A4AD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Язвенная болезнь желудка и двенадцатиперстной кишки. Антихеликобактерная терапия. </w:t>
      </w:r>
    </w:p>
    <w:p w:rsidR="00000000" w:rsidRDefault="00EA4A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 истории открытия Helicobacter pylori и современные подходы к хеликобактерной те</w:t>
      </w:r>
      <w:r>
        <w:rPr>
          <w:b/>
          <w:bCs/>
          <w:color w:val="000000"/>
          <w:sz w:val="28"/>
          <w:szCs w:val="28"/>
        </w:rPr>
        <w:t>рапии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1983 г. B.Marschall и J.Warren впервые обнаружили в слизистой оболочке желудка больного хроническим гастритом изогнутые бактерии, которые первоначально были отнесены к роду Campylobacter, однако, позднее были переклассифицированы в новый вид helico</w:t>
      </w:r>
      <w:r>
        <w:rPr>
          <w:color w:val="000000"/>
          <w:sz w:val="24"/>
          <w:szCs w:val="24"/>
        </w:rPr>
        <w:t xml:space="preserve">bacter pylоri.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Изучение роли хеликобактерной инфекции в развитии язвенной болезни коренным образом изменило подход к лечению и профилактике заболевания.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Вопрос о целесообразности воздействия на helicobacter pylоri при язвенной болезни на протяжении после</w:t>
      </w:r>
      <w:r>
        <w:rPr>
          <w:color w:val="000000"/>
          <w:sz w:val="24"/>
          <w:szCs w:val="24"/>
        </w:rPr>
        <w:t xml:space="preserve">дних лет был предметом активной дискуссии, но сегодня его можно считать решенным. Следующие факты убедительно подтверждают роль хеликобактерной инфекции в развитии язвы: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1 -частота инфицирования helicobacter pylоri у больных язвой желудка и двенадцатиперс</w:t>
      </w:r>
      <w:r>
        <w:rPr>
          <w:color w:val="000000"/>
          <w:sz w:val="24"/>
          <w:szCs w:val="24"/>
        </w:rPr>
        <w:t xml:space="preserve">тной кишки (не связанной с приемом нестероидных противовоспалительных средств игастриномой) составляет около 80% и 90% соответственно.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2 - в двух исследованиях с длительностью наблюдения 10 и18 лет язва двенадцатиперстной кишки у больных, инфицированных H</w:t>
      </w:r>
      <w:r>
        <w:rPr>
          <w:color w:val="000000"/>
          <w:sz w:val="24"/>
          <w:szCs w:val="24"/>
        </w:rPr>
        <w:t xml:space="preserve">. pylori, развивалась значительно чаще, чем у неинфицированных лиц.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3 - и наконец, самое главное: при элиминации H. pylori наблюдалось значительное снижение частоты рецидивов язвенной болезни двенадцатиперстной кишки и желудка с 60 - 100% до 15%, т.е. про</w:t>
      </w:r>
      <w:r>
        <w:rPr>
          <w:color w:val="000000"/>
          <w:sz w:val="24"/>
          <w:szCs w:val="24"/>
        </w:rPr>
        <w:t xml:space="preserve">тивомикробную терапию при язвенной болезни оправдывают не только эпидемиологические, но и клинические данные.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целью диагностики хеликобактерной инфекции могут быть использованы гастродуоденоскопические и неинвазивные методы. Наличие helicobacter pylоri </w:t>
      </w:r>
      <w:r>
        <w:rPr>
          <w:color w:val="000000"/>
          <w:sz w:val="24"/>
          <w:szCs w:val="24"/>
        </w:rPr>
        <w:t>в биоптате слизистой оболочки желудка или двенадцати перстной кишки можно определить путём гистологического исследования посева или с помощью экспресс-тестов, позволяющих зафиксировать наличие уреазы бактерий (CLO-тест, pyloritek ) по изменению цвета краси</w:t>
      </w:r>
      <w:r>
        <w:rPr>
          <w:color w:val="000000"/>
          <w:sz w:val="24"/>
          <w:szCs w:val="24"/>
        </w:rPr>
        <w:t>теля. Посев является наименее чувствительным методом и используется в основном для определения восприимчивости микроорганизма к антибактериальным средствам. К неинвазивным методам относится серологические и дыхательные тесты. Следует отметить, что исследов</w:t>
      </w:r>
      <w:r>
        <w:rPr>
          <w:color w:val="000000"/>
          <w:sz w:val="24"/>
          <w:szCs w:val="24"/>
        </w:rPr>
        <w:t xml:space="preserve">ания с целью диагностики хеликобактерной инфекции и терапию, направленную на ее эллиминацию, можно проводить как в период обострения, так и ремиссии язвенной болезни. Очевиден вопрос - что делать, если провести исследования невозможно. В нашей поликлинике </w:t>
      </w:r>
      <w:r>
        <w:rPr>
          <w:color w:val="000000"/>
          <w:sz w:val="24"/>
          <w:szCs w:val="24"/>
        </w:rPr>
        <w:t>нет методов диагностики helicobacter pylоri. По мнению J. Walsh и W. Peterson, у больных язвенной болезнью двенадцатиперстной кишки, не получавших ранее нестероидные пропивовоспалительные средства и противомикробные препараты, частота инфицирования helicob</w:t>
      </w:r>
      <w:r>
        <w:rPr>
          <w:color w:val="000000"/>
          <w:sz w:val="24"/>
          <w:szCs w:val="24"/>
        </w:rPr>
        <w:t xml:space="preserve">acter pylоri столь высока, что специальные исследования можно и не проводить, а сразу начинать терапию. У больных с язвенной болезнью желудка частота инфицирования ниже, поэтому диагноз целесообразно подтвердить с помощью одного из указанных методов.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п</w:t>
      </w:r>
      <w:r>
        <w:rPr>
          <w:color w:val="000000"/>
          <w:sz w:val="24"/>
          <w:szCs w:val="24"/>
        </w:rPr>
        <w:t xml:space="preserve">оследние 10 лет принципы лечения язвенной болезни кардинально изменились. Язвенная болезнь в настоящее время рассматривается как инфекционное заболевание, в большинстве случаев связанное с helicobacter pylоri.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Эпидемические данные свидетельствуют, что 100</w:t>
      </w:r>
      <w:r>
        <w:rPr>
          <w:color w:val="000000"/>
          <w:sz w:val="24"/>
          <w:szCs w:val="24"/>
        </w:rPr>
        <w:t xml:space="preserve">% язв двенадцатиперстной кишки и более 80% язв желудка связаны с персистированием helicobacter pylоri. Накопленный за </w:t>
      </w:r>
      <w:r>
        <w:rPr>
          <w:color w:val="000000"/>
          <w:sz w:val="24"/>
          <w:szCs w:val="24"/>
        </w:rPr>
        <w:lastRenderedPageBreak/>
        <w:t>последние 10 лет опыт лечения язвенной болезни комбинациями антихеликобактерных средств показал, что при уничтожении helicobacter pylоri в</w:t>
      </w:r>
      <w:r>
        <w:rPr>
          <w:color w:val="000000"/>
          <w:sz w:val="24"/>
          <w:szCs w:val="24"/>
        </w:rPr>
        <w:t xml:space="preserve"> слизистой оболочке желудка прекращается рецидивирование язвенной болезни. Опыт пятилетнего наблюдения отделения гастроэнтерологии МОНИКИ показал, что рецидивы язвенной болезни наступают у 5 -10% пролеченных больных (как правило, в следствии реинфекции H. </w:t>
      </w:r>
      <w:r>
        <w:rPr>
          <w:color w:val="000000"/>
          <w:sz w:val="24"/>
          <w:szCs w:val="24"/>
        </w:rPr>
        <w:t>pyroli.), а в контрольной группе больных, не получавших антихеликобактерной терапии, язва рецидирует в течение 2 лет в 100% случаев. Уникальный опыт получен у больных с осложненным течением язвенной болезни. Если с помощью антихеликобактерной терапии удало</w:t>
      </w:r>
      <w:r>
        <w:rPr>
          <w:color w:val="000000"/>
          <w:sz w:val="24"/>
          <w:szCs w:val="24"/>
        </w:rPr>
        <w:t>сь уничтожить helicobacter pylоri, то ни обострения язвенной болезни, ни кровотечения не повторялось в течение всего периода наблюдения (2 года), в то время как у больных, не получавших данную терапию, кровотечения рецедивировали, несмотря на противоязвенн</w:t>
      </w:r>
      <w:r>
        <w:rPr>
          <w:color w:val="000000"/>
          <w:sz w:val="24"/>
          <w:szCs w:val="24"/>
        </w:rPr>
        <w:t xml:space="preserve">ое лечение. Известный прогресс был достигнут в разработках схем лечения инфекции, ряд из которых являются общепризнанными.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Первоначально основным препаратом для лечения helicobacter pylоri. была коллоидная суспензия висмута (де-нол), который оказывает пря</w:t>
      </w:r>
      <w:r>
        <w:rPr>
          <w:color w:val="000000"/>
          <w:sz w:val="24"/>
          <w:szCs w:val="24"/>
        </w:rPr>
        <w:t xml:space="preserve">мое бактерицидное действие на helicobacter pylоri. Однако, частота уничтожения helicobacter pylоri при монотерапии де-нолом не превышала 14%. Подавляющее большинство антибиотиков (за редким исключением) обладают средней или высокой активностью в отношении </w:t>
      </w:r>
      <w:r>
        <w:rPr>
          <w:color w:val="000000"/>
          <w:sz w:val="24"/>
          <w:szCs w:val="24"/>
        </w:rPr>
        <w:t>helicobacter pylоri in vitro. Антибиотики должны действовать в желудке, где имеется высокая кислотность желудочного содержимого, всасывание лекарственных препаратов крайне низкое, поэтому необходимая высокая концентрация антибиотиков в ткани желудка достиг</w:t>
      </w:r>
      <w:r>
        <w:rPr>
          <w:color w:val="000000"/>
          <w:sz w:val="24"/>
          <w:szCs w:val="24"/>
        </w:rPr>
        <w:t xml:space="preserve">ается с трудом. Этим обстоятельством обусловлена низкая эффективность при монотерапии helicobacter pylоri -ассоциированных заболеваний.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Данные об увеличении активности антибиотиков на H. pyroli. в присутствии ионов висмута предрешили появление комбинирова</w:t>
      </w:r>
      <w:r>
        <w:rPr>
          <w:color w:val="000000"/>
          <w:sz w:val="24"/>
          <w:szCs w:val="24"/>
        </w:rPr>
        <w:t xml:space="preserve">нных схем лечения.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Антибиотики, в частности производные пенициллина, влияют на синтез пептидогликана клеточной стенки бактерии, т.е. активно подавляют делящиеся бактериальные клетки, ионы висмута активны и в отношении покоящихся бактериальных клеток, т.к.</w:t>
      </w:r>
      <w:r>
        <w:rPr>
          <w:color w:val="000000"/>
          <w:sz w:val="24"/>
          <w:szCs w:val="24"/>
        </w:rPr>
        <w:t xml:space="preserve"> преципитируются на наружной мембране бактерии могут влиять на активность ряда ферментов в периплазматическом пространстве. Так сочетание де-нола с амоксициллином приводит к эрадикации H. pyroli. в 25 - 63% случаев. Этот показатель был несколько выше при с</w:t>
      </w:r>
      <w:r>
        <w:rPr>
          <w:color w:val="000000"/>
          <w:sz w:val="24"/>
          <w:szCs w:val="24"/>
        </w:rPr>
        <w:t xml:space="preserve">очетании де-нола и производных нитроимидазола - 48 - 86%.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Сочетание трех препаратов: де-нола, амоксициллина (или тетрациклина) и метронидазола широко применяется во всех странах мира. Такую терапию называют "тройной" или "классической". Тем не менее обоим</w:t>
      </w:r>
      <w:r>
        <w:rPr>
          <w:color w:val="000000"/>
          <w:sz w:val="24"/>
          <w:szCs w:val="24"/>
        </w:rPr>
        <w:t xml:space="preserve"> видам тройной терапии свойственен общий недостаток - большое количество побочных эффектов. Так при применении комбинации, включающей тетрациклин, только за одну неделю лечения выявлены побочные реакции у 56% больных (боли в эпигастральной области -2%, зап</w:t>
      </w:r>
      <w:r>
        <w:rPr>
          <w:color w:val="000000"/>
          <w:sz w:val="24"/>
          <w:szCs w:val="24"/>
        </w:rPr>
        <w:t xml:space="preserve">ор -1%, головная боль и боли в ушах -10%, общая слабость -6%, тошнота и рвота -25%, разжижение стула -19%).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сих пор остается не совсем ясным вопрос о наличии прямого или непрямого бактерицидного действия омепразола на H. pyroli . Полагают, что при высо</w:t>
      </w:r>
      <w:r>
        <w:rPr>
          <w:color w:val="000000"/>
          <w:sz w:val="24"/>
          <w:szCs w:val="24"/>
        </w:rPr>
        <w:t>ком значении Ph в желудке нейтрализация аммония, продуцируемого H. pyroli. посредством гидролиза мочевины, невозможна, поэтому накопление аммония может стать токсическим для самого микроорганизма. Такое "самоубийство" helicobacter pylоri было продемонстрир</w:t>
      </w:r>
      <w:r>
        <w:rPr>
          <w:color w:val="000000"/>
          <w:sz w:val="24"/>
          <w:szCs w:val="24"/>
        </w:rPr>
        <w:t>овано in vitro. Однако, в организме человека оно имеет место только в антральном отделе желудка. В кислотопродуцирующей зоне желудка (эпителии тела и фундального отдела), где Ph не достигает критических значений, популяция helicobacter pylоri, наоборот, ув</w:t>
      </w:r>
      <w:r>
        <w:rPr>
          <w:color w:val="000000"/>
          <w:sz w:val="24"/>
          <w:szCs w:val="24"/>
        </w:rPr>
        <w:t>еличивается за счет спиралевидных форм, т.к. условия, создающиеся под действием омепразола, становятся благоприятными для бактерии. Фигурально выражаясь, омепразол "превращает" фундальный отдел в антральный, с точки зрения значений Ph, а покоящиеся формы h</w:t>
      </w:r>
      <w:r>
        <w:rPr>
          <w:color w:val="000000"/>
          <w:sz w:val="24"/>
          <w:szCs w:val="24"/>
        </w:rPr>
        <w:t xml:space="preserve">elicobacter pylоri, находящиеся в фундальном эпителии, немедленно реагируют на благоприятное изменение среды размножением. Феномен "перемещения" helicobacter pylоri аптрального отдела в тело и фундальный отдел желудка представляет собой важнейшее свойство </w:t>
      </w:r>
      <w:r>
        <w:rPr>
          <w:color w:val="000000"/>
          <w:sz w:val="24"/>
          <w:szCs w:val="24"/>
        </w:rPr>
        <w:t>омепразола. На самом деле в аптральном отделе желудка H. pyroli. просто погибают, а в фундальном переходят в вегетативную форму и начинают размножаться, а т.к. именно омепразол увеличивает в фундальном эпителии желудка число вегетативных форм бактерий, что</w:t>
      </w:r>
      <w:r>
        <w:rPr>
          <w:color w:val="000000"/>
          <w:sz w:val="24"/>
          <w:szCs w:val="24"/>
        </w:rPr>
        <w:t xml:space="preserve"> делает их уязвимыми для антибиотиков, это исключительно важно и потому, что эпителий фундального отдела желудка менее подвержен действию антибиотоков, т.е.они всасываются существенно меньше, чем в аптральном отделе и Ph в эпителии фундального типа ниже, т</w:t>
      </w:r>
      <w:r>
        <w:rPr>
          <w:color w:val="000000"/>
          <w:sz w:val="24"/>
          <w:szCs w:val="24"/>
        </w:rPr>
        <w:t>.е. шансов у антибиотиков разрушиться раньше, чем будет оказано бактерицидное или бактеростатическое действие, больше. Омепразол повышает значение Ph до 5,0 и выше, что создает лучшую среду для действия антибиотиков. Т.е. омепразол не оказывает антибактери</w:t>
      </w:r>
      <w:r>
        <w:rPr>
          <w:color w:val="000000"/>
          <w:sz w:val="24"/>
          <w:szCs w:val="24"/>
        </w:rPr>
        <w:t>ального действия, но создает условия для реализации эффекта всех компонентов антихеликобактерной терапии. Частота эрадикации была выше в тех случаях, когда антибиотики назначались в более высокой дозе. Так, при применении амоксициллина в дозе 3 г/сут. част</w:t>
      </w:r>
      <w:r>
        <w:rPr>
          <w:color w:val="000000"/>
          <w:sz w:val="24"/>
          <w:szCs w:val="24"/>
        </w:rPr>
        <w:t>ота эрадикации достигала 92%, однако при повышении доз антибиотиков и длительности терапии возрастало и число побочных эффектов. Используя же омепразол (40 мг/сут.) в комбинации с кларитромицином (250 - 500 мг/сут.х2р. в день)исследователи сумели преодолет</w:t>
      </w:r>
      <w:r>
        <w:rPr>
          <w:color w:val="000000"/>
          <w:sz w:val="24"/>
          <w:szCs w:val="24"/>
        </w:rPr>
        <w:t xml:space="preserve">ь 85% барьер в эрадикации helicobacter pylоri.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Неплохие результаты были достигнуты и в случае, когда в приведенной выше схеме тиниразол заменили на амоксициллин в дозе 2 г/сут. (в среднем частота эридикации H. pyroli.составила 88%). Другая комбинация - ом</w:t>
      </w:r>
      <w:r>
        <w:rPr>
          <w:color w:val="000000"/>
          <w:sz w:val="24"/>
          <w:szCs w:val="24"/>
        </w:rPr>
        <w:t xml:space="preserve">епразол с амоксициллином и тиннидазолом (метронидазолом) дает 79,7% эрадикации.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Частота эрадикации helicobacter pylоri при различных видах тройной терапии с омепразолом</w:t>
      </w:r>
    </w:p>
    <w:tbl>
      <w:tblPr>
        <w:tblW w:w="4500" w:type="pct"/>
        <w:tblCellSpacing w:w="1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899"/>
        <w:gridCol w:w="724"/>
        <w:gridCol w:w="2159"/>
      </w:tblGrid>
      <w:tr w:rsidR="0000000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A4A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EA4A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Схема лечения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EA4A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EA4A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Эрадикация (%)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EA4A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Омепразол + кларитромицин + метронидазол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EA4A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EA4A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88,7(86,8-90,8)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EA4A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Омепразол + кларитромицин + амоксициллин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EA4A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EA4A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88(85,5-90,5)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EA4A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Омепразол + амоксициллин + метронидазол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EA4A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EA4A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76,5(71,5-82,9)</w:t>
            </w:r>
          </w:p>
        </w:tc>
      </w:tr>
    </w:tbl>
    <w:p w:rsidR="00000000" w:rsidRDefault="00EA4A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"Квадро" терапия - панацея от всех бед?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Добавление 20 мг омепразола 2 раза в день к классической тройной терапии (де-н</w:t>
      </w:r>
      <w:r>
        <w:rPr>
          <w:color w:val="000000"/>
          <w:sz w:val="24"/>
          <w:szCs w:val="24"/>
        </w:rPr>
        <w:t>ол 120мг х 4 р. в сутки, тетрациклин 500 мг х 4 р. в сутки и метронидазол 500 мг х 3 р.в сутки) существенно увеличивает частоту эрадикации. Такая терапия способна преодолеть устойчивость helicobacter pylоri к нитроимидазолам. Оказалось, что эффективность л</w:t>
      </w:r>
      <w:r>
        <w:rPr>
          <w:color w:val="000000"/>
          <w:sz w:val="24"/>
          <w:szCs w:val="24"/>
        </w:rPr>
        <w:t>ечения не меняется в зависимости от ее длительности (7 или 14 дней). При семидневном лечении удалось существенно уменьшить число побочных эффектов. В среднем частота эрадикации helicobacter pylоri при "квадро" терапии составила 96,4%. Этот показатель на се</w:t>
      </w:r>
      <w:r>
        <w:rPr>
          <w:color w:val="000000"/>
          <w:sz w:val="24"/>
          <w:szCs w:val="24"/>
        </w:rPr>
        <w:t xml:space="preserve">годняшний день является наилучшим.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сентябре 1996 г. в Маастрихте на заседании Европейскойгруппы по изучению helicobacter pylоri был принят документ: "Current European Concepts in the Management of Helicobacter pylori Infection - The Maastricht consensus</w:t>
      </w:r>
      <w:r>
        <w:rPr>
          <w:color w:val="000000"/>
          <w:sz w:val="24"/>
          <w:szCs w:val="24"/>
        </w:rPr>
        <w:t xml:space="preserve"> Report" . Эксперты указали требование к антихеликобактерной терапии, которыми они руководствовались: лечение должно быть простым, хорошо переноситься, быть доступным по цене и частота эрадикации должна быть выше 80%. Исходя из этого они рекомендовали испо</w:t>
      </w:r>
      <w:r>
        <w:rPr>
          <w:color w:val="000000"/>
          <w:sz w:val="24"/>
          <w:szCs w:val="24"/>
        </w:rPr>
        <w:t xml:space="preserve">льзовать следующие схемы: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категория 1 (лечение первого ряда):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однонедельная тройная терапия с использованием блокаторов H+- K+ - АТФазы в стандартной дозировке (в нашей стране речь может идти только об омепразоле 20 мг х2 р.в день) вместе с метронидазо</w:t>
      </w:r>
      <w:r>
        <w:rPr>
          <w:color w:val="000000"/>
          <w:sz w:val="24"/>
          <w:szCs w:val="24"/>
        </w:rPr>
        <w:t xml:space="preserve">лом 400мг х3 р. в день (или тинидазолом 500 мг х2 р.в день) и кларитромицином 250 мг х2 р. в день или амоксициллином 1000 мг х2 р. в день (или кларитромицином 500 мг 2р. в день или амоксициллином 500 мг х 3р. в день);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классическая тройная терапия с преп</w:t>
      </w:r>
      <w:r>
        <w:rPr>
          <w:color w:val="000000"/>
          <w:sz w:val="24"/>
          <w:szCs w:val="24"/>
        </w:rPr>
        <w:t xml:space="preserve">аратом висмута, которую, однако превосходит тройная терапия с блокаторами H+- K+ - АТФазы.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категория 2 (терапия второго ряда или резервная):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квадро - терапия (блокаторы H+- K+ - АТФазы + классическая тройная терапия) может быть использована в случае, е</w:t>
      </w:r>
      <w:r>
        <w:rPr>
          <w:color w:val="000000"/>
          <w:sz w:val="24"/>
          <w:szCs w:val="24"/>
        </w:rPr>
        <w:t xml:space="preserve">сли тройная терапия неэффективна.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Эксперты подчеркнули, что приводимые схемы имеют рекомендательный характер и со временем будут сменяться. Необходимо учитывать, что на эффективность "стандартных" схем терапии оказывают влияние существенные различия штамм</w:t>
      </w:r>
      <w:r>
        <w:rPr>
          <w:color w:val="000000"/>
          <w:sz w:val="24"/>
          <w:szCs w:val="24"/>
        </w:rPr>
        <w:t xml:space="preserve">ов H. pyroli. в различных популяциях.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планировании хеликобактерной терапии следует выяснить у больного, какие лекарства он переносит, принимал ли он их ранее, в каких дозах и были ли какие-нибудь побочные реакции.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последние годы возрос интерес к "ф</w:t>
      </w:r>
      <w:r>
        <w:rPr>
          <w:color w:val="000000"/>
          <w:sz w:val="24"/>
          <w:szCs w:val="24"/>
        </w:rPr>
        <w:t>акторам хозяина" и их влиянию на исход терапии. Так, эффективность двойной терапии с омепразолом выше у больных пожилого возраста, при более высокой активности гастрита и колита язвы желудка, а не луковицы двенадцати перстной кишки. Пожилой возраст и высок</w:t>
      </w:r>
      <w:r>
        <w:rPr>
          <w:color w:val="000000"/>
          <w:sz w:val="24"/>
          <w:szCs w:val="24"/>
        </w:rPr>
        <w:t>ая активность в антральном отделе являются благоприятными факторами в плане эрадикации helicobacter pylоri при классической тройной терапии.</w:t>
      </w:r>
    </w:p>
    <w:p w:rsidR="00000000" w:rsidRDefault="00EA4A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Практика применения антихеликобактерной терапии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"Д" наблюдении находится 17 докторов наук, имеющих язвенную боле</w:t>
      </w:r>
      <w:r>
        <w:rPr>
          <w:color w:val="000000"/>
          <w:sz w:val="24"/>
          <w:szCs w:val="24"/>
        </w:rPr>
        <w:t xml:space="preserve">знь, в основном двенадцатиперстной кишки, 16 человек - хронический гастрит, из них 4 - эрозийный гастрит или бульбит.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Продолжительность язвенного анамнеза у больных различная: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1 -2 года- 2 чел.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6 - 10 лет - 5 чел.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 20 лет- 5 чел.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свыше 20 лет. - </w:t>
      </w:r>
      <w:r>
        <w:rPr>
          <w:color w:val="000000"/>
          <w:sz w:val="24"/>
          <w:szCs w:val="24"/>
        </w:rPr>
        <w:t xml:space="preserve">5 чел.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Возраст больных : до 50 лет- 2 человека,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50 - 55 лет- 2 чел.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60 - 65 лет- 9 чел.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старше 65 лет - 4 чел.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Сопутствующие заболевания имели 9 человек: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чел. - И.Б.С. стенокардия напряжения ФКII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чел. - И.Б.С. стенокардия напряжения ФКIII, пости</w:t>
      </w:r>
      <w:r>
        <w:rPr>
          <w:color w:val="000000"/>
          <w:sz w:val="24"/>
          <w:szCs w:val="24"/>
        </w:rPr>
        <w:t xml:space="preserve">нфарктный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кардиосклероз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 чел. - хронич. холецистит, хронич. панкреатит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 чел. - мочекаменная болезнь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чел. - бронхиальная астма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 чел. - межпозвонковый остеахондроз со смещенными грыжами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чел. - гипертоническая болезнь II стадии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Антихеликобактерн</w:t>
      </w:r>
      <w:r>
        <w:rPr>
          <w:color w:val="000000"/>
          <w:sz w:val="24"/>
          <w:szCs w:val="24"/>
        </w:rPr>
        <w:t xml:space="preserve">ая терапия обязательно проводилась при обострении язвенного процесса, при впервые выявленной язвенной болезни и с целью профилактики.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Обострения за последние 3 года (1996 - 1998) былиу 7 больных, причем, в основном, в 1996 г. и у 2-х человек, вновь взятых</w:t>
      </w:r>
      <w:r>
        <w:rPr>
          <w:color w:val="000000"/>
          <w:sz w:val="24"/>
          <w:szCs w:val="24"/>
        </w:rPr>
        <w:t xml:space="preserve"> на диспансерное наблюдение в 1997 году.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обостренияхязвенной болезни назначался омепразол (20 мг х 2 раза в день), де-нол (120 мг х 4 раза в сутки), метронидазол (500 мг х 3 раза всутки, при необходимости амоксициллин по 1 г 2 раза в сутки).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 леч</w:t>
      </w:r>
      <w:r>
        <w:rPr>
          <w:color w:val="000000"/>
          <w:sz w:val="24"/>
          <w:szCs w:val="24"/>
        </w:rPr>
        <w:t>ения 10 - 14 днейиндивидуальный, т.е. учитывался язвенный анамнез, тяжесть состояния, предыдущий опыт применения препаратов, их переносимость, как правило до 1996 года антихеликобактерная терапия в полном объеме не проводилась. Лекарственная терапия чаще в</w:t>
      </w:r>
      <w:r>
        <w:rPr>
          <w:color w:val="000000"/>
          <w:sz w:val="24"/>
          <w:szCs w:val="24"/>
        </w:rPr>
        <w:t xml:space="preserve">сего проводилась в ранне-весенний (февраль - март) и ранне-осенний (конец августа - сентябрь). Контрольная ЭГДС в 1997 г. была проведена только 4 пациентам, т.к. остальные категорически отказывались от этого исследования. У всех больных после проведения 2 </w:t>
      </w:r>
      <w:r>
        <w:rPr>
          <w:color w:val="000000"/>
          <w:sz w:val="24"/>
          <w:szCs w:val="24"/>
        </w:rPr>
        <w:t>- 3 курсов антихеликобактерной терапии в 1996 - 1997 г. рецидива или обострения заболевания не наблюдалось. Проведение "классической" терапии с профилактической целью, даже у больных с минимальными жалобами, привело к тому, что при осмотре этих больных чер</w:t>
      </w:r>
      <w:r>
        <w:rPr>
          <w:color w:val="000000"/>
          <w:sz w:val="24"/>
          <w:szCs w:val="24"/>
        </w:rPr>
        <w:t xml:space="preserve">ез 5 - 6 месяцев больные не испытывали никакого дискомфорта со стороны желудочно-кишечного тракта. </w:t>
      </w:r>
    </w:p>
    <w:p w:rsidR="00000000" w:rsidRDefault="00EA4A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Два клинических случая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Пациент Ш. 1938 г. рождения, язвенный анамнез с 1966 г., язвенная болезнь двенадцатиперстной кишки до 1973 г. текла без обострений. В</w:t>
      </w:r>
      <w:r>
        <w:rPr>
          <w:color w:val="000000"/>
          <w:sz w:val="24"/>
          <w:szCs w:val="24"/>
        </w:rPr>
        <w:t xml:space="preserve"> 1973 г. больной прошел лечение гризеовульвином по поводу трихофитии стоп. В результате чего возникло кишечное кровотечение, по поводу которого больной находился в гастроэнтерологическом отделении ЦКБРАН. В дальнейшем имел частые обострения (1978, 1982, 19</w:t>
      </w:r>
      <w:r>
        <w:rPr>
          <w:color w:val="000000"/>
          <w:sz w:val="24"/>
          <w:szCs w:val="24"/>
        </w:rPr>
        <w:t xml:space="preserve">85, 1994, 1995 г.) в весенне-осенние периоды, но от какого-либо обследования и медикоментозного лечения категорически отказывался. Следовал диете Шаталовой, своим собственным ощущениям и взглядам на проблему язвенной болезни.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1996 г. с больным проводили</w:t>
      </w:r>
      <w:r>
        <w:rPr>
          <w:color w:val="000000"/>
          <w:sz w:val="24"/>
          <w:szCs w:val="24"/>
        </w:rPr>
        <w:t xml:space="preserve">сь неоднократные беседы о возможном наличии у него helicobacter pylоri и необходимости эрадикации возбудителя. В 1997 г. при тяжелом обострении язвенной болезни удалось выполнить ЭГДС.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Заключение ЭГДС: обострение язвенной болезни двенадцатиперстной кишки,</w:t>
      </w:r>
      <w:r>
        <w:rPr>
          <w:color w:val="000000"/>
          <w:sz w:val="24"/>
          <w:szCs w:val="24"/>
        </w:rPr>
        <w:t xml:space="preserve"> две большие и глубокие язвы на задне-верхней и передне-нижней стенке 12 п.к. диаметром до 12 мм каждая. Задне-верхняя с некротическим дном, окруженная инфильтрацией и гиперимированной слизистой. В передне-нижней - тромбирован сосуд диаметром до 1 мм, не к</w:t>
      </w:r>
      <w:r>
        <w:rPr>
          <w:color w:val="000000"/>
          <w:sz w:val="24"/>
          <w:szCs w:val="24"/>
        </w:rPr>
        <w:t>ровоточащий, деформация луковицы умеренная. Кардия с мягкими краями, отечная. Была взята биопсия. Была проведена терапия омедолом, де-нолом, метропиразолом, амоксициллином. Через 21 день была сделана контрольная ЭГДС. Заключение: послеязвенная деформация п</w:t>
      </w:r>
      <w:r>
        <w:rPr>
          <w:color w:val="000000"/>
          <w:sz w:val="24"/>
          <w:szCs w:val="24"/>
        </w:rPr>
        <w:t xml:space="preserve">иоробульбарной области. Гастродуоденит. Недостаточность кардии. В дальнейшем проводились профилактические курсы антихеликобактерной терапии. Обострений заболевания не было. Больной стал часто выезжать за границу.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Второй пример. Больной А. 1950 г. рождения</w:t>
      </w:r>
      <w:r>
        <w:rPr>
          <w:color w:val="000000"/>
          <w:sz w:val="24"/>
          <w:szCs w:val="24"/>
        </w:rPr>
        <w:t xml:space="preserve"> был практически здоров до 1996 г. В декабре 1996 г. внезапно появились жалобы на сильное головокружение в вертикальном положении, головную боль в теменной области, чувство тошноты. При осмотре обращала на себя внимание возбужденность больного (не мог сиде</w:t>
      </w:r>
      <w:r>
        <w:rPr>
          <w:color w:val="000000"/>
          <w:sz w:val="24"/>
          <w:szCs w:val="24"/>
        </w:rPr>
        <w:t>ть, а ходил по кабинету), бледность кожных покровов. При осмотре: в легких дыхание вуикусперное, сердечные тоны звучные, ритмичные. ЧСС - 84 уд. в мин., АД = 100/70 мм рт.ст. Живот мягкий, несколько чувствительный при пальпации в эпиг. области. На физиолог</w:t>
      </w:r>
      <w:r>
        <w:rPr>
          <w:color w:val="000000"/>
          <w:sz w:val="24"/>
          <w:szCs w:val="24"/>
        </w:rPr>
        <w:t xml:space="preserve">ические отправления жалоб не предъявлялось.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тем, что диагноз был не ясен, больной был осмотрен в кабинете невропатолога (диагноз - сосудистый криз?), сделана ЭКГ и по vito - клинический анализ крови, в котором отмечались низкие цифры гемоглобина</w:t>
      </w:r>
      <w:r>
        <w:rPr>
          <w:color w:val="000000"/>
          <w:sz w:val="24"/>
          <w:szCs w:val="24"/>
        </w:rPr>
        <w:t xml:space="preserve"> - 88 г/л, СОЭ - 4 мм в час, L-ты 4,2.10 , L-формула без особенностей. Было заподозрено кишечное кровотечение, и больной был госпитализирован в терапевтическое отделение, где проводилась консервативная терапия. При ЭГДС: слизистая желудка отечная, в кардиа</w:t>
      </w:r>
      <w:r>
        <w:rPr>
          <w:color w:val="000000"/>
          <w:sz w:val="24"/>
          <w:szCs w:val="24"/>
        </w:rPr>
        <w:t>льном отделе и в верхней трети множество поверхностных эрозий. На задней стенке луковицы 12 п.к. язва около 0,6 мм в диаметре и 0,2 мм в глубину. При выписке из стационара наблюдалось улучшение, но от контрольной ЭГДС больной отказался . В III и IX 97 пров</w:t>
      </w:r>
      <w:r>
        <w:rPr>
          <w:color w:val="000000"/>
          <w:sz w:val="24"/>
          <w:szCs w:val="24"/>
        </w:rPr>
        <w:t>одился курс антихеликобактерной терапии, включающей в себя омед, трихопол, де-нол, амоксициллин в рекомендованных дозах. При выполнении ЭГДС в VI 97, - хронический гастрит, рубец луковицы 12 перстной кишки, следует отметить, что больной до проведения специ</w:t>
      </w:r>
      <w:r>
        <w:rPr>
          <w:color w:val="000000"/>
          <w:sz w:val="24"/>
          <w:szCs w:val="24"/>
        </w:rPr>
        <w:t>фической терапии постоянно предъявлял жалобы на боли в эпигастральной области после еды и в ночное время, дискомфорт в эпигастральной области. При осмотре весной 1998 г. жалоб не предъявлял, но, тем не менее, был проведен профилактический курс де-нолом и к</w:t>
      </w:r>
      <w:r>
        <w:rPr>
          <w:color w:val="000000"/>
          <w:sz w:val="24"/>
          <w:szCs w:val="24"/>
        </w:rPr>
        <w:t xml:space="preserve">ларитромицином.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16 больных, находящихся на "Д" учете по хроническому гастриту с разной степени кислотности, у 4-х больных был выявлен или эрозивный бульбит или гастрит. Антихеликобактерная терапия также привела к прекрасным результатам - 1 -2 года реми</w:t>
      </w:r>
      <w:r>
        <w:rPr>
          <w:color w:val="000000"/>
          <w:sz w:val="24"/>
          <w:szCs w:val="24"/>
        </w:rPr>
        <w:t xml:space="preserve">ссии. Дальнейшее наблюдение за этой группой больных будет продолжено. Среди неконтингента антихеликобактерная терапия проведена у 30 больных также с очень благоприятными результатами.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наличии рефлюкс-эзофагита или дуоденально-гастрального рефлюкса бол</w:t>
      </w:r>
      <w:r>
        <w:rPr>
          <w:color w:val="000000"/>
          <w:sz w:val="24"/>
          <w:szCs w:val="24"/>
        </w:rPr>
        <w:t xml:space="preserve">ьным рекомендовались простые меры, которые нередко позволяли полностью устранить или значительно уменьшить его клинические проявления: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приподнятый головной конец кровати;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не ложиться сразу после еды;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ограничить потребление жирной пищи;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бросить </w:t>
      </w:r>
      <w:r>
        <w:rPr>
          <w:color w:val="000000"/>
          <w:sz w:val="24"/>
          <w:szCs w:val="24"/>
        </w:rPr>
        <w:t xml:space="preserve">курить;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уменьшить потребление алкоголя.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тяжелого течения, помимо антацидов, использовались блокаторы желудочной секреции (блокаторы Н2-гисталиновых рецепторов, омепразол) и средства, улучшающие моторику функции желудочно-кишечного тракта (прок</w:t>
      </w:r>
      <w:r>
        <w:rPr>
          <w:color w:val="000000"/>
          <w:sz w:val="24"/>
          <w:szCs w:val="24"/>
        </w:rPr>
        <w:t xml:space="preserve">инетики) - церукал, затем мотилиум, опыта применения цизапрада (цисапа, коорданакса) пока нет.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ожидает нас нового в 2000 году?В ближайшем будущем будет, без сомнения, прояснен вопрос о способности преодолевать устойчивость к нитроимидазолам, простой т</w:t>
      </w:r>
      <w:r>
        <w:rPr>
          <w:color w:val="000000"/>
          <w:sz w:val="24"/>
          <w:szCs w:val="24"/>
        </w:rPr>
        <w:t>ройной терапии с блокаторами H+- K+ - АТФазы. Несомненно, появится больше данных об эффективности тройной терапии, при которой блокатор H+- K+ - АТФазы назначают один раз в сутки (например, люсек - 20 мг). Продолжится ренессанс препаратов висмута, связанны</w:t>
      </w:r>
      <w:r>
        <w:rPr>
          <w:color w:val="000000"/>
          <w:sz w:val="24"/>
          <w:szCs w:val="24"/>
        </w:rPr>
        <w:t>й с квадро-терапией и, возможно, комбинацией с новыми антибиотиками. Возможно, будут оглашены результаты испытаний препаратов, специально создаваемых для уничтожения helicobacter pylоri, хотя до сих пор ни одной компании не удалось синтезировать препарат и</w:t>
      </w:r>
      <w:r>
        <w:rPr>
          <w:color w:val="000000"/>
          <w:sz w:val="24"/>
          <w:szCs w:val="24"/>
        </w:rPr>
        <w:t>ли создать вакцину, которые бы излечивали хотя бы 50% больных, страдающих от этой, по выражению D.Yroham, "новой чумы XX века".</w:t>
      </w:r>
    </w:p>
    <w:p w:rsidR="00000000" w:rsidRDefault="00EA4A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литератуты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1 - А.Р.Златкина - "Лечение хронических болезней органов пищеварения".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2 - В.А.Исаков, отделение гастроэнтеро</w:t>
      </w:r>
      <w:r>
        <w:rPr>
          <w:color w:val="000000"/>
          <w:sz w:val="24"/>
          <w:szCs w:val="24"/>
        </w:rPr>
        <w:t xml:space="preserve">логии МОНИКИ, российская группа по изучению H.pylori - "Лечение язвенной болезни ассоциированной с H.pylori, достижения и нерешенные проблемы".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3 - Я.С.Циммерман, Ш.Р.Зиннатуллин- Пермская гос. мед. академия "Лечение язвенной болезни, ассоциированной с H.</w:t>
      </w:r>
      <w:r>
        <w:rPr>
          <w:color w:val="000000"/>
          <w:sz w:val="24"/>
          <w:szCs w:val="24"/>
        </w:rPr>
        <w:t xml:space="preserve">pylori, антибактериальными препаратами" </w:t>
      </w:r>
    </w:p>
    <w:p w:rsidR="00000000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4 - П.Я.Григорьев, Э.П.Яковенко - Р.Г.М.У., кафедра гастроэнтерологии - "Сравнительная эффективность медикаментозных комбинаций по эридикации H.pylori при язвенной болезни". </w:t>
      </w:r>
    </w:p>
    <w:p w:rsidR="00EA4AD9" w:rsidRDefault="00EA4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5 - материалы научного терапевтического </w:t>
      </w:r>
      <w:r>
        <w:rPr>
          <w:color w:val="000000"/>
          <w:sz w:val="24"/>
          <w:szCs w:val="24"/>
        </w:rPr>
        <w:t xml:space="preserve">общества под руководством доктора мед. наук, профессора А.Р. Златкиной 1994-1998 г.г. </w:t>
      </w:r>
    </w:p>
    <w:sectPr w:rsidR="00EA4AD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AC"/>
    <w:rsid w:val="008353AC"/>
    <w:rsid w:val="00EA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3093</Words>
  <Characters>17633</Characters>
  <Application>Microsoft Office Word</Application>
  <DocSecurity>0</DocSecurity>
  <Lines>146</Lines>
  <Paragraphs>41</Paragraphs>
  <ScaleCrop>false</ScaleCrop>
  <Company>PERSONAL COMPUTERS</Company>
  <LinksUpToDate>false</LinksUpToDate>
  <CharactersWithSpaces>20685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Язвенная болезнь желудка и двенадцатиперстной кишки</dc:title>
  <dc:creator>USER</dc:creator>
  <cp:lastModifiedBy>Igor</cp:lastModifiedBy>
  <cp:revision>3</cp:revision>
  <dcterms:created xsi:type="dcterms:W3CDTF">2024-07-23T10:15:00Z</dcterms:created>
  <dcterms:modified xsi:type="dcterms:W3CDTF">2024-07-23T10:15:00Z</dcterms:modified>
</cp:coreProperties>
</file>