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98C" w:rsidRDefault="0090698C">
      <w:pPr>
        <w:spacing w:line="360" w:lineRule="auto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Паспортная часть.</w:t>
      </w:r>
    </w:p>
    <w:p w:rsidR="0090698C" w:rsidRDefault="0090698C">
      <w:pPr>
        <w:spacing w:line="360" w:lineRule="auto"/>
        <w:rPr>
          <w:b/>
          <w:sz w:val="28"/>
          <w:u w:val="single"/>
        </w:rPr>
      </w:pPr>
    </w:p>
    <w:p w:rsidR="0090698C" w:rsidRDefault="0090698C">
      <w:pPr>
        <w:spacing w:line="360" w:lineRule="auto"/>
        <w:rPr>
          <w:sz w:val="28"/>
        </w:rPr>
      </w:pPr>
      <w:r>
        <w:rPr>
          <w:b/>
          <w:sz w:val="28"/>
        </w:rPr>
        <w:t>Ф.И.О.:</w:t>
      </w:r>
      <w:r>
        <w:rPr>
          <w:sz w:val="28"/>
        </w:rPr>
        <w:t xml:space="preserve"> </w:t>
      </w:r>
    </w:p>
    <w:p w:rsidR="0090698C" w:rsidRDefault="0090698C">
      <w:pPr>
        <w:spacing w:line="360" w:lineRule="auto"/>
        <w:rPr>
          <w:sz w:val="28"/>
        </w:rPr>
      </w:pPr>
      <w:r>
        <w:rPr>
          <w:b/>
          <w:sz w:val="28"/>
        </w:rPr>
        <w:t>Год рождения:</w:t>
      </w:r>
      <w:r>
        <w:rPr>
          <w:sz w:val="28"/>
        </w:rPr>
        <w:t xml:space="preserve"> </w:t>
      </w:r>
    </w:p>
    <w:p w:rsidR="0090698C" w:rsidRDefault="0090698C">
      <w:pPr>
        <w:spacing w:line="360" w:lineRule="auto"/>
        <w:rPr>
          <w:sz w:val="28"/>
        </w:rPr>
      </w:pPr>
      <w:r>
        <w:rPr>
          <w:b/>
          <w:sz w:val="28"/>
        </w:rPr>
        <w:t>Дата поступления:</w:t>
      </w:r>
      <w:r>
        <w:rPr>
          <w:sz w:val="28"/>
        </w:rPr>
        <w:t xml:space="preserve"> </w:t>
      </w:r>
    </w:p>
    <w:p w:rsidR="0090698C" w:rsidRDefault="0090698C">
      <w:pPr>
        <w:spacing w:line="360" w:lineRule="auto"/>
        <w:rPr>
          <w:sz w:val="28"/>
        </w:rPr>
      </w:pPr>
      <w:r>
        <w:rPr>
          <w:b/>
          <w:sz w:val="28"/>
        </w:rPr>
        <w:t>Место учёбы:</w:t>
      </w:r>
      <w:r>
        <w:rPr>
          <w:sz w:val="28"/>
        </w:rPr>
        <w:t xml:space="preserve"> школа</w:t>
      </w:r>
    </w:p>
    <w:p w:rsidR="0090698C" w:rsidRDefault="0090698C">
      <w:pPr>
        <w:pStyle w:val="4"/>
      </w:pPr>
      <w:r>
        <w:t>Адрес и телефон: -</w:t>
      </w:r>
    </w:p>
    <w:p w:rsidR="0090698C" w:rsidRDefault="0090698C">
      <w:pPr>
        <w:pStyle w:val="Normal"/>
        <w:spacing w:line="360" w:lineRule="auto"/>
      </w:pPr>
      <w:r>
        <w:rPr>
          <w:b/>
        </w:rPr>
        <w:t>Диагноз:</w:t>
      </w:r>
      <w:r>
        <w:t xml:space="preserve"> Ювенильный идиопатический дерматомиозит подострого течения</w:t>
      </w:r>
    </w:p>
    <w:p w:rsidR="0090698C" w:rsidRDefault="0090698C">
      <w:pPr>
        <w:spacing w:line="360" w:lineRule="auto"/>
      </w:pPr>
    </w:p>
    <w:p w:rsidR="0090698C" w:rsidRDefault="0090698C">
      <w:pPr>
        <w:pStyle w:val="1"/>
      </w:pPr>
      <w:r>
        <w:t>Анамнез жизни</w:t>
      </w:r>
    </w:p>
    <w:p w:rsidR="0090698C" w:rsidRDefault="0090698C">
      <w:pPr>
        <w:spacing w:line="360" w:lineRule="auto"/>
      </w:pPr>
    </w:p>
    <w:p w:rsidR="0090698C" w:rsidRDefault="0090698C" w:rsidP="00B718A3">
      <w:pPr>
        <w:spacing w:line="360" w:lineRule="auto"/>
        <w:jc w:val="both"/>
        <w:rPr>
          <w:sz w:val="24"/>
        </w:rPr>
      </w:pPr>
      <w:r>
        <w:rPr>
          <w:sz w:val="24"/>
        </w:rPr>
        <w:t>Беременность матери протекала без патологии. Роды без осложнений.</w:t>
      </w:r>
      <w:r w:rsidR="00B718A3" w:rsidRPr="00B718A3">
        <w:rPr>
          <w:sz w:val="24"/>
        </w:rPr>
        <w:t xml:space="preserve"> </w:t>
      </w:r>
      <w:r>
        <w:rPr>
          <w:sz w:val="24"/>
        </w:rPr>
        <w:t xml:space="preserve">При рождении: масса </w:t>
      </w:r>
      <w:smartTag w:uri="urn:schemas-microsoft-com:office:smarttags" w:element="metricconverter">
        <w:smartTagPr>
          <w:attr w:name="ProductID" w:val="4000 г"/>
        </w:smartTagPr>
        <w:r>
          <w:rPr>
            <w:sz w:val="24"/>
          </w:rPr>
          <w:t>4000 г</w:t>
        </w:r>
      </w:smartTag>
      <w:r>
        <w:rPr>
          <w:sz w:val="24"/>
        </w:rPr>
        <w:t xml:space="preserve">., длина тела </w:t>
      </w:r>
      <w:smartTag w:uri="urn:schemas-microsoft-com:office:smarttags" w:element="metricconverter">
        <w:smartTagPr>
          <w:attr w:name="ProductID" w:val="56 см"/>
        </w:smartTagPr>
        <w:r>
          <w:rPr>
            <w:sz w:val="24"/>
          </w:rPr>
          <w:t>56 см</w:t>
        </w:r>
      </w:smartTag>
      <w:r>
        <w:rPr>
          <w:sz w:val="24"/>
        </w:rPr>
        <w:t>, закричал сразу, пуповина отпала на 5 день, пупочная ранка зажила на 5 день.</w:t>
      </w:r>
      <w:r w:rsidR="00B718A3" w:rsidRPr="00B718A3">
        <w:rPr>
          <w:sz w:val="24"/>
        </w:rPr>
        <w:t xml:space="preserve"> </w:t>
      </w:r>
      <w:r>
        <w:rPr>
          <w:sz w:val="24"/>
        </w:rPr>
        <w:t>Вскармливание грудное до 11 месяцев; приложен к груди на 1 сутки, сосал активно, прикорм с 5 месяцев.</w:t>
      </w:r>
      <w:r w:rsidR="00B718A3" w:rsidRPr="00B718A3">
        <w:rPr>
          <w:sz w:val="24"/>
        </w:rPr>
        <w:t xml:space="preserve"> </w:t>
      </w:r>
      <w:r>
        <w:rPr>
          <w:sz w:val="24"/>
        </w:rPr>
        <w:t>Раннее психомоторное развитие соответствовало возрасту.</w:t>
      </w:r>
    </w:p>
    <w:p w:rsidR="0090698C" w:rsidRDefault="0090698C" w:rsidP="00B718A3">
      <w:pPr>
        <w:spacing w:line="360" w:lineRule="auto"/>
        <w:jc w:val="both"/>
        <w:rPr>
          <w:sz w:val="24"/>
        </w:rPr>
      </w:pPr>
      <w:r>
        <w:rPr>
          <w:sz w:val="24"/>
        </w:rPr>
        <w:t>Поведение в семье: контактен.</w:t>
      </w:r>
    </w:p>
    <w:p w:rsidR="0090698C" w:rsidRDefault="0090698C" w:rsidP="00B718A3">
      <w:pPr>
        <w:pStyle w:val="a4"/>
        <w:jc w:val="both"/>
      </w:pPr>
      <w:r>
        <w:t>Перенесённые заболевания: в период новорожденности – нет, в 11 месяцев – ОРВИ, позднее редко ОРЗ, ОРВИ; острозаразными болезнями не болел; Профилактические прививки:</w:t>
      </w:r>
      <w:r w:rsidR="00B718A3" w:rsidRPr="00B718A3">
        <w:t xml:space="preserve"> </w:t>
      </w:r>
      <w:r>
        <w:t xml:space="preserve">БЦЖ, АКДС, против </w:t>
      </w:r>
      <w:r w:rsidR="00B1562C">
        <w:t>полиомиелита</w:t>
      </w:r>
      <w:r>
        <w:t xml:space="preserve"> по возрасту без реакций </w:t>
      </w:r>
    </w:p>
    <w:p w:rsidR="0090698C" w:rsidRDefault="0090698C" w:rsidP="00B718A3">
      <w:pPr>
        <w:spacing w:line="360" w:lineRule="auto"/>
        <w:jc w:val="both"/>
        <w:rPr>
          <w:sz w:val="24"/>
        </w:rPr>
      </w:pPr>
      <w:r>
        <w:rPr>
          <w:sz w:val="24"/>
        </w:rPr>
        <w:t>реакция Манту 15.03.2000 г. – отрицательна.</w:t>
      </w:r>
    </w:p>
    <w:p w:rsidR="0090698C" w:rsidRDefault="0090698C" w:rsidP="00B718A3">
      <w:pPr>
        <w:pStyle w:val="Normal"/>
        <w:spacing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t>Наследственность.</w:t>
      </w:r>
    </w:p>
    <w:p w:rsidR="0090698C" w:rsidRDefault="0090698C" w:rsidP="00B718A3">
      <w:pPr>
        <w:spacing w:line="360" w:lineRule="auto"/>
        <w:jc w:val="both"/>
        <w:rPr>
          <w:sz w:val="24"/>
        </w:rPr>
      </w:pPr>
      <w:r>
        <w:rPr>
          <w:sz w:val="24"/>
        </w:rPr>
        <w:t>Мать: 37 лет, мастопатия; Дед: умер, рак пищевода; Бабка: 72, здорова.</w:t>
      </w:r>
    </w:p>
    <w:p w:rsidR="0090698C" w:rsidRDefault="0090698C" w:rsidP="00B718A3">
      <w:pPr>
        <w:spacing w:line="360" w:lineRule="auto"/>
        <w:jc w:val="both"/>
        <w:rPr>
          <w:sz w:val="24"/>
        </w:rPr>
      </w:pPr>
      <w:r>
        <w:rPr>
          <w:sz w:val="24"/>
        </w:rPr>
        <w:t>Отец: 36 лет, здоров; Дед: 66 лет, рак почек; Бабка: 60 лет, сахарный диабет.</w:t>
      </w:r>
    </w:p>
    <w:p w:rsidR="0090698C" w:rsidRDefault="0090698C" w:rsidP="00B718A3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Беременности матери: 1. </w:t>
      </w:r>
      <w:r w:rsidR="006D3DB1">
        <w:rPr>
          <w:sz w:val="24"/>
          <w:lang w:val="en-US"/>
        </w:rPr>
        <w:t>*****</w:t>
      </w:r>
      <w:r>
        <w:rPr>
          <w:sz w:val="24"/>
        </w:rPr>
        <w:t xml:space="preserve"> 14 лет, здорова;</w:t>
      </w:r>
    </w:p>
    <w:p w:rsidR="0090698C" w:rsidRDefault="0090698C" w:rsidP="00B718A3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2. Наш пациент.</w:t>
      </w:r>
    </w:p>
    <w:p w:rsidR="0090698C" w:rsidRDefault="0090698C">
      <w:pPr>
        <w:spacing w:line="360" w:lineRule="auto"/>
        <w:rPr>
          <w:sz w:val="24"/>
        </w:rPr>
      </w:pPr>
      <w:r>
        <w:rPr>
          <w:sz w:val="24"/>
        </w:rPr>
        <w:t>Материально-бытовые условия удовлетворительные.</w:t>
      </w:r>
    </w:p>
    <w:p w:rsidR="0090698C" w:rsidRDefault="0090698C">
      <w:pPr>
        <w:spacing w:line="360" w:lineRule="auto"/>
        <w:rPr>
          <w:sz w:val="24"/>
        </w:rPr>
      </w:pPr>
      <w:proofErr w:type="spellStart"/>
      <w:r>
        <w:rPr>
          <w:sz w:val="24"/>
          <w:u w:val="single"/>
        </w:rPr>
        <w:t>Аллергоанамнез</w:t>
      </w:r>
      <w:proofErr w:type="spellEnd"/>
      <w:r>
        <w:rPr>
          <w:sz w:val="24"/>
        </w:rPr>
        <w:t xml:space="preserve"> не отягощён.</w:t>
      </w:r>
    </w:p>
    <w:p w:rsidR="0090698C" w:rsidRDefault="0090698C">
      <w:pPr>
        <w:spacing w:line="36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Анамнез заболевания.</w:t>
      </w:r>
    </w:p>
    <w:p w:rsidR="0090698C" w:rsidRDefault="0090698C">
      <w:pPr>
        <w:spacing w:line="360" w:lineRule="auto"/>
        <w:rPr>
          <w:b/>
          <w:sz w:val="28"/>
          <w:u w:val="single"/>
        </w:rPr>
      </w:pPr>
    </w:p>
    <w:p w:rsidR="0090698C" w:rsidRDefault="0090698C" w:rsidP="00B718A3">
      <w:pPr>
        <w:pStyle w:val="a4"/>
        <w:jc w:val="both"/>
      </w:pPr>
      <w:r>
        <w:t>В 4 года (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 xml:space="preserve">) после перенесенного ОРВИ появилась слабость в основном в проксимальных группах мышц, боли в ногах, </w:t>
      </w:r>
      <w:proofErr w:type="spellStart"/>
      <w:r>
        <w:t>миопатический</w:t>
      </w:r>
      <w:proofErr w:type="spellEnd"/>
      <w:r>
        <w:t xml:space="preserve"> синдром. Диагноз дерматомиозит поставлен в феврале 1998 года, назначено лечение преднизолон 20 мг/</w:t>
      </w:r>
      <w:proofErr w:type="spellStart"/>
      <w:r>
        <w:t>сут</w:t>
      </w:r>
      <w:proofErr w:type="spellEnd"/>
      <w:r>
        <w:t xml:space="preserve">, </w:t>
      </w:r>
      <w:proofErr w:type="spellStart"/>
      <w:r>
        <w:lastRenderedPageBreak/>
        <w:t>метотрексат</w:t>
      </w:r>
      <w:proofErr w:type="spellEnd"/>
      <w:r>
        <w:t xml:space="preserve"> 12,5 мг/</w:t>
      </w:r>
      <w:proofErr w:type="spellStart"/>
      <w:r>
        <w:t>сут</w:t>
      </w:r>
      <w:proofErr w:type="spellEnd"/>
      <w:r>
        <w:t>. Последний был отменён осенью 1998 года из-за повышения печеночных ферментов. Поступил в клинику в сентябре 1998 года. При поступлении эритема на лице, над коленными, локтевыми суставами, ограничение сгибания л/</w:t>
      </w:r>
      <w:proofErr w:type="gramStart"/>
      <w:r>
        <w:t>з ,</w:t>
      </w:r>
      <w:proofErr w:type="gramEnd"/>
      <w:r>
        <w:t xml:space="preserve"> коленных и г/с суставов, СОЭ 19 мм/ч. Был назначен преднизолон 12,5 мг/</w:t>
      </w:r>
      <w:proofErr w:type="spellStart"/>
      <w:r>
        <w:t>сут</w:t>
      </w:r>
      <w:proofErr w:type="spellEnd"/>
      <w:r>
        <w:t>. Впоследствии мальчик неоднократно поступал в клинику. В марте 2000 года появились сильные боли в правом г/</w:t>
      </w:r>
      <w:proofErr w:type="spellStart"/>
      <w:r>
        <w:t>ст</w:t>
      </w:r>
      <w:proofErr w:type="spellEnd"/>
      <w:r>
        <w:t xml:space="preserve"> суставе, затем в левом – признаки системного остеопороза, к терапии был добавлен </w:t>
      </w:r>
      <w:proofErr w:type="spellStart"/>
      <w:r>
        <w:t>Миокальцин</w:t>
      </w:r>
      <w:proofErr w:type="spellEnd"/>
      <w:r>
        <w:t xml:space="preserve">. Боли исчезли. В настоящее время поступил для планового обследования и коррекции терапии. </w:t>
      </w:r>
    </w:p>
    <w:p w:rsidR="0090698C" w:rsidRDefault="0090698C" w:rsidP="00B718A3">
      <w:pPr>
        <w:spacing w:line="360" w:lineRule="auto"/>
        <w:jc w:val="both"/>
      </w:pPr>
    </w:p>
    <w:p w:rsidR="0090698C" w:rsidRDefault="0090698C" w:rsidP="00B718A3">
      <w:pPr>
        <w:spacing w:line="360" w:lineRule="auto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Настоящее состояние.</w:t>
      </w:r>
    </w:p>
    <w:p w:rsidR="0090698C" w:rsidRPr="00B1562C" w:rsidRDefault="0090698C" w:rsidP="00B718A3">
      <w:pPr>
        <w:spacing w:line="360" w:lineRule="auto"/>
        <w:jc w:val="both"/>
      </w:pPr>
    </w:p>
    <w:p w:rsidR="0090698C" w:rsidRDefault="0090698C" w:rsidP="00B718A3">
      <w:pPr>
        <w:spacing w:line="360" w:lineRule="auto"/>
        <w:jc w:val="both"/>
        <w:rPr>
          <w:sz w:val="24"/>
        </w:rPr>
      </w:pPr>
      <w:r>
        <w:rPr>
          <w:sz w:val="24"/>
          <w:lang w:val="en-US"/>
        </w:rPr>
        <w:t>T</w:t>
      </w:r>
      <w:r>
        <w:rPr>
          <w:sz w:val="24"/>
        </w:rPr>
        <w:t xml:space="preserve"> 36,6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С, масса тела </w:t>
      </w:r>
      <w:smartTag w:uri="urn:schemas-microsoft-com:office:smarttags" w:element="metricconverter">
        <w:smartTagPr>
          <w:attr w:name="ProductID" w:val="25,5 кг"/>
        </w:smartTagPr>
        <w:r>
          <w:rPr>
            <w:sz w:val="24"/>
          </w:rPr>
          <w:t>25,5 кг</w:t>
        </w:r>
      </w:smartTag>
      <w:r>
        <w:rPr>
          <w:sz w:val="24"/>
        </w:rPr>
        <w:t>.</w:t>
      </w:r>
    </w:p>
    <w:p w:rsidR="0090698C" w:rsidRDefault="0090698C" w:rsidP="00B718A3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Состояние удовлетворительное, сознание ясное, поведение соответствует возрасту, </w:t>
      </w:r>
      <w:r w:rsidR="00B1562C">
        <w:rPr>
          <w:sz w:val="24"/>
        </w:rPr>
        <w:t>интеллект</w:t>
      </w:r>
      <w:r>
        <w:rPr>
          <w:sz w:val="24"/>
        </w:rPr>
        <w:t xml:space="preserve"> соответствует возрасту, внимание концентрирует, память хорошая, настроение ровное, мышление – логическое, речь плавная, сон спокойный. Рефлексы: сухожильные живые, симметричные, патологических нет.</w:t>
      </w:r>
      <w:r w:rsidR="00B1562C">
        <w:rPr>
          <w:sz w:val="24"/>
        </w:rPr>
        <w:t xml:space="preserve"> Вегетативная система: дермографизм</w:t>
      </w:r>
      <w:r>
        <w:rPr>
          <w:sz w:val="24"/>
        </w:rPr>
        <w:t xml:space="preserve"> – красный, нестойкий, потливость – умеренная, </w:t>
      </w:r>
      <w:proofErr w:type="spellStart"/>
      <w:r>
        <w:rPr>
          <w:sz w:val="24"/>
        </w:rPr>
        <w:t>ваготония</w:t>
      </w:r>
      <w:proofErr w:type="spellEnd"/>
      <w:r>
        <w:rPr>
          <w:sz w:val="24"/>
        </w:rPr>
        <w:t>. Глаза и уши – внешне без видимой патологии.</w:t>
      </w:r>
    </w:p>
    <w:p w:rsidR="0090698C" w:rsidRDefault="0090698C" w:rsidP="00B718A3">
      <w:pPr>
        <w:spacing w:line="360" w:lineRule="auto"/>
        <w:jc w:val="both"/>
        <w:rPr>
          <w:sz w:val="24"/>
        </w:rPr>
      </w:pPr>
      <w:r>
        <w:rPr>
          <w:sz w:val="24"/>
        </w:rPr>
        <w:t>Телосложение повышенного питания.</w:t>
      </w:r>
    </w:p>
    <w:p w:rsidR="0090698C" w:rsidRDefault="0090698C" w:rsidP="00B718A3">
      <w:pPr>
        <w:spacing w:line="360" w:lineRule="auto"/>
        <w:jc w:val="both"/>
        <w:rPr>
          <w:sz w:val="24"/>
        </w:rPr>
      </w:pPr>
      <w:r>
        <w:rPr>
          <w:sz w:val="24"/>
          <w:u w:val="single"/>
        </w:rPr>
        <w:t>Кожа</w:t>
      </w:r>
      <w:r>
        <w:rPr>
          <w:sz w:val="24"/>
        </w:rPr>
        <w:t xml:space="preserve"> сухая на ощупь, над л/з, локтевыми, коленными суставами – неярко выраженная эритема. Слизистые оболочки розовые, чистые. Волосы и ногти не изменены. </w:t>
      </w:r>
    </w:p>
    <w:p w:rsidR="0090698C" w:rsidRDefault="0090698C" w:rsidP="00B718A3">
      <w:pPr>
        <w:spacing w:line="360" w:lineRule="auto"/>
        <w:jc w:val="both"/>
        <w:rPr>
          <w:sz w:val="24"/>
        </w:rPr>
      </w:pPr>
      <w:r>
        <w:rPr>
          <w:sz w:val="24"/>
          <w:u w:val="single"/>
        </w:rPr>
        <w:t>Подкожная жировая клетчатка</w:t>
      </w:r>
      <w:r>
        <w:rPr>
          <w:sz w:val="24"/>
        </w:rPr>
        <w:t xml:space="preserve"> развита удовлетворительно, отёков, пастозности нет, тургор тканей в норме.</w:t>
      </w:r>
    </w:p>
    <w:p w:rsidR="0090698C" w:rsidRDefault="0090698C" w:rsidP="00B718A3">
      <w:pPr>
        <w:spacing w:line="360" w:lineRule="auto"/>
        <w:jc w:val="both"/>
        <w:rPr>
          <w:sz w:val="24"/>
        </w:rPr>
      </w:pPr>
      <w:r>
        <w:rPr>
          <w:sz w:val="24"/>
          <w:u w:val="single"/>
        </w:rPr>
        <w:t xml:space="preserve">Лимфатические узлы: </w:t>
      </w:r>
      <w:r>
        <w:rPr>
          <w:sz w:val="24"/>
        </w:rPr>
        <w:t>пальпируются единичные подчелюстные, тонзиллярные, при пальпации безболезненные, не спаянные между собой и с окружающими тканями, кожа над ними не изменена.</w:t>
      </w:r>
    </w:p>
    <w:p w:rsidR="0090698C" w:rsidRDefault="0090698C" w:rsidP="00B718A3">
      <w:pPr>
        <w:spacing w:line="360" w:lineRule="auto"/>
        <w:jc w:val="both"/>
        <w:rPr>
          <w:sz w:val="24"/>
        </w:rPr>
      </w:pPr>
      <w:r>
        <w:rPr>
          <w:sz w:val="24"/>
          <w:u w:val="single"/>
        </w:rPr>
        <w:t>Костная система:</w:t>
      </w:r>
      <w:r>
        <w:rPr>
          <w:sz w:val="24"/>
        </w:rPr>
        <w:t xml:space="preserve"> роднички закрыты, швы сомкнуты, грудная клетка цилиндрической формы, конечности ровные, позвоночник – нарушение осанки. </w:t>
      </w:r>
      <w:proofErr w:type="spellStart"/>
      <w:r>
        <w:rPr>
          <w:sz w:val="24"/>
        </w:rPr>
        <w:t>Гаррисонова</w:t>
      </w:r>
      <w:proofErr w:type="spellEnd"/>
      <w:r>
        <w:rPr>
          <w:sz w:val="24"/>
        </w:rPr>
        <w:t xml:space="preserve"> борозда, утолщение ребер на границе костной и хрящевой части отсутствуют.</w:t>
      </w:r>
    </w:p>
    <w:p w:rsidR="0090698C" w:rsidRDefault="0090698C" w:rsidP="00B718A3">
      <w:pPr>
        <w:spacing w:line="360" w:lineRule="auto"/>
        <w:jc w:val="both"/>
        <w:rPr>
          <w:sz w:val="24"/>
        </w:rPr>
      </w:pPr>
      <w:r>
        <w:rPr>
          <w:sz w:val="24"/>
          <w:u w:val="single"/>
        </w:rPr>
        <w:t>Суставы:</w:t>
      </w:r>
      <w:r>
        <w:rPr>
          <w:sz w:val="24"/>
        </w:rPr>
        <w:t xml:space="preserve"> движения активные и пассивные </w:t>
      </w:r>
      <w:r w:rsidR="00B1562C">
        <w:rPr>
          <w:sz w:val="24"/>
        </w:rPr>
        <w:t>безболезненны</w:t>
      </w:r>
      <w:r>
        <w:rPr>
          <w:sz w:val="24"/>
        </w:rPr>
        <w:t>, сохранены в полном объёме.</w:t>
      </w:r>
    </w:p>
    <w:p w:rsidR="0090698C" w:rsidRDefault="0090698C" w:rsidP="00B718A3">
      <w:pPr>
        <w:spacing w:line="360" w:lineRule="auto"/>
        <w:jc w:val="both"/>
        <w:rPr>
          <w:sz w:val="24"/>
        </w:rPr>
      </w:pPr>
      <w:r>
        <w:rPr>
          <w:sz w:val="24"/>
          <w:u w:val="single"/>
        </w:rPr>
        <w:t>Мышечная система:</w:t>
      </w:r>
      <w:r>
        <w:rPr>
          <w:sz w:val="24"/>
        </w:rPr>
        <w:t xml:space="preserve"> сила мышц удовлетворительна, незначительно ослаблена в плечевом поясе, спине и мышцах таза. Болезненность при ощупывании и при активных и пассивных движениях отсутствует. Уплотнения мышц нет. </w:t>
      </w:r>
    </w:p>
    <w:p w:rsidR="0090698C" w:rsidRDefault="0090698C" w:rsidP="00B718A3">
      <w:pPr>
        <w:spacing w:line="360" w:lineRule="auto"/>
        <w:jc w:val="both"/>
        <w:rPr>
          <w:sz w:val="24"/>
        </w:rPr>
      </w:pPr>
    </w:p>
    <w:p w:rsidR="0090698C" w:rsidRDefault="0090698C" w:rsidP="00B718A3">
      <w:pPr>
        <w:spacing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Система дыхания. </w:t>
      </w:r>
    </w:p>
    <w:p w:rsidR="0090698C" w:rsidRPr="00B1562C" w:rsidRDefault="0090698C" w:rsidP="00B718A3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Носовое дыхание не нарушено, дыхание смешанное, голос звонкий, ЧДД 18 </w:t>
      </w:r>
      <w:proofErr w:type="gramStart"/>
      <w:r>
        <w:rPr>
          <w:sz w:val="24"/>
        </w:rPr>
        <w:t>в мин</w:t>
      </w:r>
      <w:proofErr w:type="gramEnd"/>
      <w:r>
        <w:rPr>
          <w:sz w:val="24"/>
        </w:rPr>
        <w:t>, одышки, кашля нет, обе половины грудной клетки в равной степени участвуют в акте дыхания. При пальпации грудной клетки болезненность отсутствует, голосовое дрожание в норме. При сравнительной перкуссии звук ясный лёгочный, очаговые изменения перкуторного звука отсутствуют.</w:t>
      </w:r>
    </w:p>
    <w:p w:rsidR="0090698C" w:rsidRDefault="0090698C">
      <w:pPr>
        <w:widowControl w:val="0"/>
        <w:rPr>
          <w:sz w:val="24"/>
          <w:u w:val="single"/>
        </w:rPr>
      </w:pPr>
    </w:p>
    <w:p w:rsidR="0090698C" w:rsidRDefault="0090698C">
      <w:pPr>
        <w:widowControl w:val="0"/>
        <w:rPr>
          <w:sz w:val="24"/>
          <w:u w:val="single"/>
        </w:rPr>
      </w:pPr>
      <w:r>
        <w:rPr>
          <w:sz w:val="24"/>
          <w:u w:val="single"/>
        </w:rPr>
        <w:t>Топографическая: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90698C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90698C" w:rsidRDefault="0090698C">
            <w:pPr>
              <w:widowControl w:val="0"/>
              <w:rPr>
                <w:sz w:val="24"/>
                <w:u w:val="single"/>
              </w:rPr>
            </w:pPr>
          </w:p>
        </w:tc>
        <w:tc>
          <w:tcPr>
            <w:tcW w:w="2952" w:type="dxa"/>
          </w:tcPr>
          <w:p w:rsidR="0090698C" w:rsidRDefault="0090698C">
            <w:pPr>
              <w:widowControl w:val="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правое</w:t>
            </w:r>
          </w:p>
        </w:tc>
        <w:tc>
          <w:tcPr>
            <w:tcW w:w="2952" w:type="dxa"/>
          </w:tcPr>
          <w:p w:rsidR="0090698C" w:rsidRDefault="0090698C">
            <w:pPr>
              <w:widowControl w:val="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Левое</w:t>
            </w:r>
          </w:p>
        </w:tc>
      </w:tr>
      <w:tr w:rsidR="0090698C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90698C" w:rsidRDefault="0090698C">
            <w:pPr>
              <w:widowControl w:val="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Среднеключичная линия</w:t>
            </w:r>
          </w:p>
          <w:p w:rsidR="0090698C" w:rsidRDefault="0090698C">
            <w:pPr>
              <w:widowControl w:val="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Пер. подмышечная </w:t>
            </w:r>
          </w:p>
          <w:p w:rsidR="0090698C" w:rsidRDefault="0090698C">
            <w:pPr>
              <w:widowControl w:val="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Ср. подмышечная</w:t>
            </w:r>
          </w:p>
          <w:p w:rsidR="0090698C" w:rsidRDefault="0090698C">
            <w:pPr>
              <w:widowControl w:val="0"/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t>Задн</w:t>
            </w:r>
            <w:proofErr w:type="spellEnd"/>
            <w:r>
              <w:rPr>
                <w:sz w:val="24"/>
                <w:u w:val="single"/>
              </w:rPr>
              <w:t>. подмышечная</w:t>
            </w:r>
          </w:p>
          <w:p w:rsidR="0090698C" w:rsidRDefault="0090698C">
            <w:pPr>
              <w:widowControl w:val="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Лопаточная</w:t>
            </w:r>
          </w:p>
          <w:p w:rsidR="0090698C" w:rsidRDefault="0090698C">
            <w:pPr>
              <w:pStyle w:val="2"/>
            </w:pPr>
            <w:r>
              <w:t>Околопозвоночная</w:t>
            </w:r>
          </w:p>
        </w:tc>
        <w:tc>
          <w:tcPr>
            <w:tcW w:w="2952" w:type="dxa"/>
          </w:tcPr>
          <w:p w:rsidR="0090698C" w:rsidRDefault="0090698C">
            <w:pPr>
              <w:widowControl w:val="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6 ребро</w:t>
            </w:r>
          </w:p>
          <w:p w:rsidR="0090698C" w:rsidRDefault="0090698C">
            <w:pPr>
              <w:widowControl w:val="0"/>
              <w:rPr>
                <w:sz w:val="24"/>
                <w:u w:val="single"/>
              </w:rPr>
            </w:pPr>
          </w:p>
          <w:p w:rsidR="0090698C" w:rsidRDefault="0090698C">
            <w:pPr>
              <w:widowControl w:val="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7</w:t>
            </w:r>
          </w:p>
          <w:p w:rsidR="0090698C" w:rsidRDefault="0090698C">
            <w:pPr>
              <w:widowControl w:val="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8</w:t>
            </w:r>
          </w:p>
          <w:p w:rsidR="0090698C" w:rsidRDefault="0090698C">
            <w:pPr>
              <w:widowControl w:val="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9</w:t>
            </w:r>
          </w:p>
          <w:p w:rsidR="0090698C" w:rsidRDefault="0090698C">
            <w:pPr>
              <w:widowControl w:val="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10</w:t>
            </w:r>
          </w:p>
          <w:p w:rsidR="0090698C" w:rsidRDefault="0090698C">
            <w:pPr>
              <w:widowControl w:val="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11</w:t>
            </w:r>
          </w:p>
        </w:tc>
        <w:tc>
          <w:tcPr>
            <w:tcW w:w="2952" w:type="dxa"/>
          </w:tcPr>
          <w:p w:rsidR="0090698C" w:rsidRDefault="0090698C">
            <w:pPr>
              <w:widowControl w:val="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6-ое межреберье</w:t>
            </w:r>
          </w:p>
          <w:p w:rsidR="0090698C" w:rsidRDefault="0090698C">
            <w:pPr>
              <w:widowControl w:val="0"/>
              <w:rPr>
                <w:sz w:val="24"/>
                <w:u w:val="single"/>
              </w:rPr>
            </w:pPr>
          </w:p>
          <w:p w:rsidR="0090698C" w:rsidRDefault="0090698C">
            <w:pPr>
              <w:widowControl w:val="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7-ое межреберье</w:t>
            </w:r>
          </w:p>
          <w:p w:rsidR="0090698C" w:rsidRDefault="0090698C">
            <w:pPr>
              <w:widowControl w:val="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8-ое межреберье</w:t>
            </w:r>
          </w:p>
          <w:p w:rsidR="0090698C" w:rsidRDefault="0090698C">
            <w:pPr>
              <w:widowControl w:val="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9-ое межреберье</w:t>
            </w:r>
          </w:p>
          <w:p w:rsidR="0090698C" w:rsidRDefault="0090698C">
            <w:pPr>
              <w:widowControl w:val="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10-ое межреберье</w:t>
            </w:r>
          </w:p>
          <w:p w:rsidR="0090698C" w:rsidRDefault="0090698C">
            <w:pPr>
              <w:widowControl w:val="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11-ое межреберье</w:t>
            </w:r>
          </w:p>
        </w:tc>
      </w:tr>
    </w:tbl>
    <w:p w:rsidR="0090698C" w:rsidRPr="00B1562C" w:rsidRDefault="0090698C">
      <w:pPr>
        <w:spacing w:line="360" w:lineRule="auto"/>
        <w:rPr>
          <w:sz w:val="24"/>
        </w:rPr>
      </w:pPr>
    </w:p>
    <w:p w:rsidR="0090698C" w:rsidRDefault="0090698C" w:rsidP="00B718A3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В легких дыхание везикулярное, равномерно проводится во все отделы, хрипов нет. Дыхание везикулярное. </w:t>
      </w:r>
    </w:p>
    <w:p w:rsidR="0090698C" w:rsidRDefault="0090698C" w:rsidP="00B718A3">
      <w:pPr>
        <w:spacing w:line="360" w:lineRule="auto"/>
        <w:jc w:val="both"/>
        <w:rPr>
          <w:sz w:val="24"/>
          <w:u w:val="single"/>
        </w:rPr>
      </w:pPr>
    </w:p>
    <w:p w:rsidR="0090698C" w:rsidRDefault="0090698C" w:rsidP="00B718A3">
      <w:pPr>
        <w:spacing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Сердечно-сосудистая система. </w:t>
      </w:r>
    </w:p>
    <w:p w:rsidR="0090698C" w:rsidRDefault="0090698C" w:rsidP="00B718A3">
      <w:pPr>
        <w:spacing w:line="360" w:lineRule="auto"/>
        <w:jc w:val="both"/>
        <w:rPr>
          <w:sz w:val="24"/>
        </w:rPr>
      </w:pPr>
      <w:r>
        <w:rPr>
          <w:sz w:val="24"/>
        </w:rPr>
        <w:t>Видимых изменений грудной клетки в области сердца нет. Сердечный толчок в 5 м/</w:t>
      </w:r>
      <w:proofErr w:type="spellStart"/>
      <w:r>
        <w:rPr>
          <w:sz w:val="24"/>
        </w:rPr>
        <w:t>реберье</w:t>
      </w:r>
      <w:proofErr w:type="spellEnd"/>
      <w:r>
        <w:rPr>
          <w:sz w:val="24"/>
        </w:rPr>
        <w:t xml:space="preserve"> по среднеключичной линии. Границы сердца: правая – правый край грудины, левая - +0.5 от </w:t>
      </w:r>
      <w:proofErr w:type="spellStart"/>
      <w:r>
        <w:rPr>
          <w:sz w:val="24"/>
        </w:rPr>
        <w:t>средеключичной</w:t>
      </w:r>
      <w:proofErr w:type="spellEnd"/>
      <w:r>
        <w:rPr>
          <w:sz w:val="24"/>
        </w:rPr>
        <w:t xml:space="preserve"> линии, верхняя – 3 м/</w:t>
      </w:r>
      <w:proofErr w:type="spellStart"/>
      <w:r>
        <w:rPr>
          <w:sz w:val="24"/>
        </w:rPr>
        <w:t>реберье</w:t>
      </w:r>
      <w:proofErr w:type="spellEnd"/>
      <w:r>
        <w:rPr>
          <w:sz w:val="24"/>
        </w:rPr>
        <w:t xml:space="preserve">. При </w:t>
      </w:r>
      <w:proofErr w:type="gramStart"/>
      <w:r>
        <w:rPr>
          <w:sz w:val="24"/>
        </w:rPr>
        <w:t xml:space="preserve">аускультации:   </w:t>
      </w:r>
      <w:proofErr w:type="gramEnd"/>
      <w:r>
        <w:rPr>
          <w:sz w:val="24"/>
        </w:rPr>
        <w:t xml:space="preserve">  ритм правильный, тоны сердца ясные, шумов нет, ЧСС 74 в мин. Отмечается пульсация в надчревной области и сосудов шеи. Пульс на лучевой артерии 72 </w:t>
      </w:r>
      <w:proofErr w:type="gramStart"/>
      <w:r>
        <w:rPr>
          <w:sz w:val="24"/>
        </w:rPr>
        <w:t>в мин</w:t>
      </w:r>
      <w:proofErr w:type="gramEnd"/>
      <w:r>
        <w:rPr>
          <w:sz w:val="24"/>
        </w:rPr>
        <w:t xml:space="preserve">, ритмичный, одинаковый на обеих руках. АД 90/40 мм </w:t>
      </w:r>
      <w:proofErr w:type="spellStart"/>
      <w:r>
        <w:rPr>
          <w:sz w:val="24"/>
        </w:rPr>
        <w:t>рт</w:t>
      </w:r>
      <w:proofErr w:type="spellEnd"/>
      <w:r>
        <w:rPr>
          <w:sz w:val="24"/>
        </w:rPr>
        <w:t xml:space="preserve"> ст.</w:t>
      </w:r>
    </w:p>
    <w:p w:rsidR="0090698C" w:rsidRDefault="0090698C" w:rsidP="00B718A3">
      <w:pPr>
        <w:spacing w:line="360" w:lineRule="auto"/>
        <w:jc w:val="both"/>
        <w:rPr>
          <w:sz w:val="24"/>
        </w:rPr>
      </w:pPr>
    </w:p>
    <w:p w:rsidR="0090698C" w:rsidRDefault="0090698C" w:rsidP="00B718A3">
      <w:pPr>
        <w:spacing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Пищеварительная система.   </w:t>
      </w:r>
    </w:p>
    <w:p w:rsidR="0090698C" w:rsidRDefault="0090698C" w:rsidP="00B718A3">
      <w:pPr>
        <w:spacing w:line="360" w:lineRule="auto"/>
        <w:jc w:val="both"/>
        <w:rPr>
          <w:sz w:val="24"/>
        </w:rPr>
      </w:pPr>
      <w:r>
        <w:rPr>
          <w:sz w:val="24"/>
        </w:rPr>
        <w:t>Слизистые ротовой полости розовые, без патологических изменений, язык обложен белым налётом, влажный. Зубы не</w:t>
      </w:r>
      <w:r w:rsidR="00B1562C">
        <w:rPr>
          <w:sz w:val="24"/>
        </w:rPr>
        <w:t xml:space="preserve"> </w:t>
      </w:r>
      <w:r>
        <w:rPr>
          <w:sz w:val="24"/>
        </w:rPr>
        <w:t xml:space="preserve">полностью санированы. Дёсны без </w:t>
      </w:r>
      <w:r w:rsidR="00B1562C">
        <w:rPr>
          <w:sz w:val="24"/>
        </w:rPr>
        <w:t>патологических</w:t>
      </w:r>
      <w:r>
        <w:rPr>
          <w:sz w:val="24"/>
        </w:rPr>
        <w:t xml:space="preserve"> изменений. </w:t>
      </w:r>
      <w:r w:rsidR="00B1562C">
        <w:rPr>
          <w:sz w:val="24"/>
        </w:rPr>
        <w:t>Слюнные</w:t>
      </w:r>
      <w:r>
        <w:rPr>
          <w:sz w:val="24"/>
        </w:rPr>
        <w:t xml:space="preserve"> железы (околоушные, подчелюстные, подъязычные) не изменены. </w:t>
      </w:r>
      <w:r w:rsidR="00B1562C">
        <w:rPr>
          <w:sz w:val="24"/>
        </w:rPr>
        <w:t>Живот</w:t>
      </w:r>
      <w:r>
        <w:rPr>
          <w:sz w:val="24"/>
        </w:rPr>
        <w:t xml:space="preserve"> округлой формы, симметричный, участвует в акте дыхания. При перкуссии тимпанит различной степени выраженности. При </w:t>
      </w:r>
      <w:r w:rsidR="00B1562C">
        <w:rPr>
          <w:sz w:val="24"/>
        </w:rPr>
        <w:t>поверхностной</w:t>
      </w:r>
      <w:r>
        <w:rPr>
          <w:sz w:val="24"/>
        </w:rPr>
        <w:t xml:space="preserve"> и глубокой пальпации безболезненный. При пальпации слабых мест брюшной стенки патологических изменений </w:t>
      </w:r>
      <w:r>
        <w:rPr>
          <w:sz w:val="24"/>
        </w:rPr>
        <w:lastRenderedPageBreak/>
        <w:t>не найдено. При аускультации выслушиваются нормальные кишечные шумы. Стул оформленный, нормальной консистенции, регулярный.</w:t>
      </w:r>
    </w:p>
    <w:p w:rsidR="0090698C" w:rsidRDefault="0090698C" w:rsidP="00B718A3">
      <w:pPr>
        <w:widowControl w:val="0"/>
        <w:spacing w:line="360" w:lineRule="auto"/>
        <w:jc w:val="both"/>
        <w:rPr>
          <w:rFonts w:ascii="Comic Sans MS" w:hAnsi="Comic Sans MS"/>
          <w:sz w:val="24"/>
        </w:rPr>
      </w:pPr>
      <w:r>
        <w:rPr>
          <w:sz w:val="24"/>
          <w:u w:val="single"/>
        </w:rPr>
        <w:t>Печень.</w:t>
      </w:r>
      <w:r>
        <w:rPr>
          <w:sz w:val="24"/>
        </w:rPr>
        <w:t xml:space="preserve"> Размеры печени по Курлову в пределах </w:t>
      </w:r>
      <w:proofErr w:type="gramStart"/>
      <w:r>
        <w:rPr>
          <w:sz w:val="24"/>
        </w:rPr>
        <w:t>нормы(</w:t>
      </w:r>
      <w:proofErr w:type="gramEnd"/>
      <w:r>
        <w:rPr>
          <w:sz w:val="24"/>
        </w:rPr>
        <w:t>9/8/7)</w:t>
      </w:r>
    </w:p>
    <w:p w:rsidR="0090698C" w:rsidRDefault="0090698C" w:rsidP="00B718A3">
      <w:pPr>
        <w:pStyle w:val="a4"/>
        <w:jc w:val="both"/>
      </w:pPr>
      <w:r>
        <w:t>Печень не пальпируется. Болезненность в точке желчного пузыря отсутствует. Селезенка не пальпируется.</w:t>
      </w:r>
    </w:p>
    <w:p w:rsidR="0090698C" w:rsidRDefault="0090698C" w:rsidP="00B718A3">
      <w:pPr>
        <w:spacing w:line="360" w:lineRule="auto"/>
        <w:jc w:val="both"/>
        <w:rPr>
          <w:sz w:val="24"/>
        </w:rPr>
      </w:pPr>
    </w:p>
    <w:p w:rsidR="0090698C" w:rsidRDefault="0090698C" w:rsidP="00B718A3">
      <w:pPr>
        <w:spacing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Мочеполовая система. </w:t>
      </w:r>
    </w:p>
    <w:p w:rsidR="0090698C" w:rsidRDefault="00B1562C" w:rsidP="00B718A3">
      <w:pPr>
        <w:spacing w:line="360" w:lineRule="auto"/>
        <w:jc w:val="both"/>
        <w:rPr>
          <w:sz w:val="24"/>
        </w:rPr>
      </w:pPr>
      <w:r>
        <w:rPr>
          <w:sz w:val="24"/>
        </w:rPr>
        <w:t>Дизур</w:t>
      </w:r>
      <w:r w:rsidR="0090698C">
        <w:rPr>
          <w:sz w:val="24"/>
        </w:rPr>
        <w:t>ических явлений нет. Симптом поколачивания отрицательный с обеих сторон.</w:t>
      </w:r>
    </w:p>
    <w:p w:rsidR="0090698C" w:rsidRDefault="0090698C" w:rsidP="00B718A3">
      <w:pPr>
        <w:spacing w:line="360" w:lineRule="auto"/>
        <w:jc w:val="both"/>
        <w:rPr>
          <w:sz w:val="24"/>
        </w:rPr>
      </w:pPr>
      <w:r>
        <w:rPr>
          <w:sz w:val="24"/>
        </w:rPr>
        <w:t>Развитие половых органов соответствует возрасту ребёнка.</w:t>
      </w:r>
    </w:p>
    <w:p w:rsidR="0090698C" w:rsidRDefault="0090698C" w:rsidP="00B718A3">
      <w:pPr>
        <w:spacing w:line="360" w:lineRule="auto"/>
        <w:jc w:val="both"/>
        <w:rPr>
          <w:b/>
          <w:sz w:val="28"/>
          <w:u w:val="single"/>
        </w:rPr>
      </w:pPr>
    </w:p>
    <w:p w:rsidR="0090698C" w:rsidRDefault="0090698C" w:rsidP="00B718A3">
      <w:pPr>
        <w:spacing w:line="360" w:lineRule="auto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Результаты лабораторных исследований.</w:t>
      </w:r>
    </w:p>
    <w:p w:rsidR="0090698C" w:rsidRDefault="0090698C">
      <w:pPr>
        <w:pStyle w:val="Normal"/>
        <w:tabs>
          <w:tab w:val="left" w:pos="2379"/>
        </w:tabs>
        <w:spacing w:line="360" w:lineRule="auto"/>
        <w:ind w:firstLine="720"/>
        <w:rPr>
          <w:sz w:val="24"/>
        </w:rPr>
      </w:pPr>
    </w:p>
    <w:p w:rsidR="0090698C" w:rsidRDefault="0090698C">
      <w:pPr>
        <w:pStyle w:val="Normal"/>
        <w:tabs>
          <w:tab w:val="left" w:pos="2379"/>
        </w:tabs>
        <w:spacing w:line="360" w:lineRule="auto"/>
        <w:ind w:firstLine="720"/>
        <w:rPr>
          <w:sz w:val="24"/>
        </w:rPr>
      </w:pPr>
      <w:r>
        <w:rPr>
          <w:sz w:val="24"/>
        </w:rPr>
        <w:t xml:space="preserve">Общий анализ крови 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6"/>
        <w:gridCol w:w="2218"/>
        <w:gridCol w:w="1650"/>
      </w:tblGrid>
      <w:tr w:rsidR="0090698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56" w:type="dxa"/>
          </w:tcPr>
          <w:p w:rsidR="0090698C" w:rsidRDefault="0090698C">
            <w:pPr>
              <w:pStyle w:val="Normal"/>
              <w:tabs>
                <w:tab w:val="left" w:pos="237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218" w:type="dxa"/>
          </w:tcPr>
          <w:p w:rsidR="0090698C" w:rsidRDefault="0090698C">
            <w:pPr>
              <w:pStyle w:val="Normal"/>
              <w:tabs>
                <w:tab w:val="left" w:pos="237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Величина</w:t>
            </w:r>
          </w:p>
        </w:tc>
        <w:tc>
          <w:tcPr>
            <w:tcW w:w="1650" w:type="dxa"/>
          </w:tcPr>
          <w:p w:rsidR="0090698C" w:rsidRDefault="0090698C">
            <w:pPr>
              <w:pStyle w:val="Normal"/>
              <w:tabs>
                <w:tab w:val="left" w:pos="237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</w:tr>
      <w:tr w:rsidR="0090698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56" w:type="dxa"/>
          </w:tcPr>
          <w:p w:rsidR="0090698C" w:rsidRDefault="0090698C">
            <w:pPr>
              <w:pStyle w:val="Normal"/>
              <w:tabs>
                <w:tab w:val="left" w:pos="237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Лейкоциты</w:t>
            </w:r>
          </w:p>
        </w:tc>
        <w:tc>
          <w:tcPr>
            <w:tcW w:w="2218" w:type="dxa"/>
          </w:tcPr>
          <w:p w:rsidR="0090698C" w:rsidRDefault="0090698C">
            <w:pPr>
              <w:pStyle w:val="Normal"/>
              <w:tabs>
                <w:tab w:val="left" w:pos="237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1650" w:type="dxa"/>
          </w:tcPr>
          <w:p w:rsidR="0090698C" w:rsidRDefault="0090698C">
            <w:pPr>
              <w:pStyle w:val="Normal"/>
              <w:tabs>
                <w:tab w:val="left" w:pos="237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/мм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90698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56" w:type="dxa"/>
          </w:tcPr>
          <w:p w:rsidR="0090698C" w:rsidRDefault="0090698C">
            <w:pPr>
              <w:pStyle w:val="Normal"/>
              <w:tabs>
                <w:tab w:val="left" w:pos="237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Эритроциты</w:t>
            </w:r>
          </w:p>
        </w:tc>
        <w:tc>
          <w:tcPr>
            <w:tcW w:w="2218" w:type="dxa"/>
          </w:tcPr>
          <w:p w:rsidR="0090698C" w:rsidRDefault="0090698C">
            <w:pPr>
              <w:pStyle w:val="Normal"/>
              <w:tabs>
                <w:tab w:val="left" w:pos="237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4,08</w:t>
            </w:r>
          </w:p>
        </w:tc>
        <w:tc>
          <w:tcPr>
            <w:tcW w:w="1650" w:type="dxa"/>
          </w:tcPr>
          <w:p w:rsidR="0090698C" w:rsidRDefault="0090698C">
            <w:pPr>
              <w:pStyle w:val="Normal"/>
              <w:tabs>
                <w:tab w:val="left" w:pos="237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6</w:t>
            </w:r>
            <w:r>
              <w:rPr>
                <w:sz w:val="24"/>
              </w:rPr>
              <w:t>/мм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90698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56" w:type="dxa"/>
          </w:tcPr>
          <w:p w:rsidR="0090698C" w:rsidRDefault="0090698C">
            <w:pPr>
              <w:pStyle w:val="Normal"/>
              <w:tabs>
                <w:tab w:val="left" w:pos="2379"/>
              </w:tabs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Hb</w:t>
            </w:r>
            <w:proofErr w:type="spellEnd"/>
          </w:p>
        </w:tc>
        <w:tc>
          <w:tcPr>
            <w:tcW w:w="2218" w:type="dxa"/>
          </w:tcPr>
          <w:p w:rsidR="0090698C" w:rsidRDefault="0090698C">
            <w:pPr>
              <w:pStyle w:val="Normal"/>
              <w:tabs>
                <w:tab w:val="left" w:pos="237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125 </w:t>
            </w:r>
          </w:p>
        </w:tc>
        <w:tc>
          <w:tcPr>
            <w:tcW w:w="1650" w:type="dxa"/>
          </w:tcPr>
          <w:p w:rsidR="0090698C" w:rsidRDefault="0090698C">
            <w:pPr>
              <w:pStyle w:val="Normal"/>
              <w:tabs>
                <w:tab w:val="left" w:pos="237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г/л</w:t>
            </w:r>
          </w:p>
        </w:tc>
      </w:tr>
      <w:tr w:rsidR="0090698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56" w:type="dxa"/>
          </w:tcPr>
          <w:p w:rsidR="0090698C" w:rsidRDefault="0090698C">
            <w:pPr>
              <w:pStyle w:val="Normal"/>
              <w:tabs>
                <w:tab w:val="left" w:pos="2379"/>
              </w:tabs>
              <w:spacing w:line="360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Ht</w:t>
            </w:r>
          </w:p>
        </w:tc>
        <w:tc>
          <w:tcPr>
            <w:tcW w:w="2218" w:type="dxa"/>
          </w:tcPr>
          <w:p w:rsidR="0090698C" w:rsidRDefault="0090698C">
            <w:pPr>
              <w:pStyle w:val="Normal"/>
              <w:tabs>
                <w:tab w:val="left" w:pos="237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35,5</w:t>
            </w:r>
          </w:p>
        </w:tc>
        <w:tc>
          <w:tcPr>
            <w:tcW w:w="1650" w:type="dxa"/>
          </w:tcPr>
          <w:p w:rsidR="0090698C" w:rsidRDefault="0090698C">
            <w:pPr>
              <w:pStyle w:val="Normal"/>
              <w:tabs>
                <w:tab w:val="left" w:pos="237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90698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56" w:type="dxa"/>
          </w:tcPr>
          <w:p w:rsidR="0090698C" w:rsidRDefault="0090698C">
            <w:pPr>
              <w:pStyle w:val="Normal"/>
              <w:tabs>
                <w:tab w:val="left" w:pos="237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Тромбоциты</w:t>
            </w:r>
          </w:p>
        </w:tc>
        <w:tc>
          <w:tcPr>
            <w:tcW w:w="2218" w:type="dxa"/>
          </w:tcPr>
          <w:p w:rsidR="0090698C" w:rsidRDefault="0090698C">
            <w:pPr>
              <w:pStyle w:val="Normal"/>
              <w:tabs>
                <w:tab w:val="left" w:pos="237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389</w:t>
            </w:r>
          </w:p>
        </w:tc>
        <w:tc>
          <w:tcPr>
            <w:tcW w:w="1650" w:type="dxa"/>
          </w:tcPr>
          <w:p w:rsidR="0090698C" w:rsidRDefault="0090698C">
            <w:pPr>
              <w:pStyle w:val="Normal"/>
              <w:tabs>
                <w:tab w:val="left" w:pos="237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/мм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90698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56" w:type="dxa"/>
          </w:tcPr>
          <w:p w:rsidR="0090698C" w:rsidRDefault="0090698C">
            <w:pPr>
              <w:pStyle w:val="Normal"/>
              <w:tabs>
                <w:tab w:val="left" w:pos="237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Цветной показ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</w:t>
            </w:r>
          </w:p>
        </w:tc>
        <w:tc>
          <w:tcPr>
            <w:tcW w:w="2218" w:type="dxa"/>
          </w:tcPr>
          <w:p w:rsidR="0090698C" w:rsidRDefault="0090698C">
            <w:pPr>
              <w:pStyle w:val="Normal"/>
              <w:tabs>
                <w:tab w:val="left" w:pos="237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0,92</w:t>
            </w:r>
          </w:p>
        </w:tc>
        <w:tc>
          <w:tcPr>
            <w:tcW w:w="1650" w:type="dxa"/>
          </w:tcPr>
          <w:p w:rsidR="0090698C" w:rsidRDefault="0090698C">
            <w:pPr>
              <w:pStyle w:val="Normal"/>
              <w:tabs>
                <w:tab w:val="left" w:pos="2379"/>
              </w:tabs>
              <w:spacing w:line="360" w:lineRule="auto"/>
              <w:rPr>
                <w:sz w:val="24"/>
              </w:rPr>
            </w:pPr>
          </w:p>
        </w:tc>
      </w:tr>
      <w:tr w:rsidR="0090698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56" w:type="dxa"/>
          </w:tcPr>
          <w:p w:rsidR="0090698C" w:rsidRDefault="0090698C">
            <w:pPr>
              <w:pStyle w:val="Normal"/>
              <w:tabs>
                <w:tab w:val="left" w:pos="237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СОЭ</w:t>
            </w:r>
          </w:p>
        </w:tc>
        <w:tc>
          <w:tcPr>
            <w:tcW w:w="2218" w:type="dxa"/>
          </w:tcPr>
          <w:p w:rsidR="0090698C" w:rsidRDefault="0090698C">
            <w:pPr>
              <w:pStyle w:val="Normal"/>
              <w:tabs>
                <w:tab w:val="left" w:pos="237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50" w:type="dxa"/>
          </w:tcPr>
          <w:p w:rsidR="0090698C" w:rsidRDefault="0090698C">
            <w:pPr>
              <w:pStyle w:val="Normal"/>
              <w:tabs>
                <w:tab w:val="left" w:pos="237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мм/ч</w:t>
            </w:r>
          </w:p>
        </w:tc>
      </w:tr>
    </w:tbl>
    <w:p w:rsidR="0090698C" w:rsidRDefault="0090698C">
      <w:pPr>
        <w:pStyle w:val="Normal"/>
        <w:tabs>
          <w:tab w:val="left" w:pos="1247"/>
          <w:tab w:val="left" w:pos="2379"/>
        </w:tabs>
        <w:spacing w:line="360" w:lineRule="auto"/>
        <w:ind w:firstLine="720"/>
        <w:jc w:val="right"/>
      </w:pPr>
    </w:p>
    <w:p w:rsidR="0090698C" w:rsidRDefault="0090698C">
      <w:pPr>
        <w:pStyle w:val="Normal"/>
        <w:tabs>
          <w:tab w:val="left" w:pos="1247"/>
          <w:tab w:val="left" w:pos="2379"/>
        </w:tabs>
        <w:spacing w:line="360" w:lineRule="auto"/>
        <w:ind w:firstLine="720"/>
        <w:jc w:val="right"/>
      </w:pPr>
    </w:p>
    <w:p w:rsidR="0090698C" w:rsidRDefault="0090698C">
      <w:pPr>
        <w:pStyle w:val="Normal"/>
        <w:tabs>
          <w:tab w:val="left" w:pos="1247"/>
          <w:tab w:val="left" w:pos="2379"/>
        </w:tabs>
        <w:spacing w:line="360" w:lineRule="auto"/>
        <w:ind w:firstLine="720"/>
        <w:rPr>
          <w:sz w:val="24"/>
        </w:rPr>
      </w:pPr>
      <w:r>
        <w:rPr>
          <w:sz w:val="24"/>
        </w:rPr>
        <w:t>Лейкоцитарная формула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51"/>
        <w:gridCol w:w="850"/>
        <w:gridCol w:w="1276"/>
        <w:gridCol w:w="140"/>
        <w:gridCol w:w="994"/>
        <w:gridCol w:w="992"/>
        <w:gridCol w:w="851"/>
        <w:gridCol w:w="1134"/>
        <w:gridCol w:w="850"/>
      </w:tblGrid>
      <w:tr w:rsidR="0090698C">
        <w:tblPrEx>
          <w:tblCellMar>
            <w:top w:w="0" w:type="dxa"/>
            <w:bottom w:w="0" w:type="dxa"/>
          </w:tblCellMar>
        </w:tblPrEx>
        <w:trPr>
          <w:cantSplit/>
          <w:trHeight w:val="1307"/>
        </w:trPr>
        <w:tc>
          <w:tcPr>
            <w:tcW w:w="1276" w:type="dxa"/>
            <w:vMerge w:val="restart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Лейкоц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ты (4 – 9 *10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>/мм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>)</w:t>
            </w:r>
          </w:p>
        </w:tc>
        <w:tc>
          <w:tcPr>
            <w:tcW w:w="851" w:type="dxa"/>
            <w:vMerge w:val="restart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Ми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лоц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ты </w:t>
            </w:r>
          </w:p>
        </w:tc>
        <w:tc>
          <w:tcPr>
            <w:tcW w:w="850" w:type="dxa"/>
            <w:vMerge w:val="restart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ind w:right="-108"/>
              <w:rPr>
                <w:sz w:val="22"/>
              </w:rPr>
            </w:pPr>
            <w:r>
              <w:rPr>
                <w:sz w:val="22"/>
              </w:rPr>
              <w:t xml:space="preserve">Юные </w:t>
            </w:r>
          </w:p>
        </w:tc>
        <w:tc>
          <w:tcPr>
            <w:tcW w:w="1276" w:type="dxa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ind w:right="-110"/>
              <w:rPr>
                <w:sz w:val="22"/>
              </w:rPr>
            </w:pPr>
            <w:proofErr w:type="spellStart"/>
            <w:r>
              <w:rPr>
                <w:sz w:val="22"/>
              </w:rPr>
              <w:t>Палочко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дерные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Сегме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тояде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 xml:space="preserve">ные </w:t>
            </w:r>
          </w:p>
        </w:tc>
        <w:tc>
          <w:tcPr>
            <w:tcW w:w="992" w:type="dxa"/>
            <w:vMerge w:val="restart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Эоз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нофилы </w:t>
            </w:r>
          </w:p>
        </w:tc>
        <w:tc>
          <w:tcPr>
            <w:tcW w:w="851" w:type="dxa"/>
            <w:vMerge w:val="restart"/>
          </w:tcPr>
          <w:p w:rsidR="0090698C" w:rsidRDefault="0090698C">
            <w:pPr>
              <w:pStyle w:val="Normal"/>
              <w:tabs>
                <w:tab w:val="left" w:pos="635"/>
                <w:tab w:val="left" w:pos="1247"/>
                <w:tab w:val="left" w:pos="2379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Баз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филы ( </w:t>
            </w:r>
          </w:p>
        </w:tc>
        <w:tc>
          <w:tcPr>
            <w:tcW w:w="1134" w:type="dxa"/>
            <w:vMerge w:val="restart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Лимф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циты </w:t>
            </w:r>
          </w:p>
        </w:tc>
        <w:tc>
          <w:tcPr>
            <w:tcW w:w="850" w:type="dxa"/>
            <w:vMerge w:val="restart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М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ноц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ты </w:t>
            </w:r>
          </w:p>
        </w:tc>
      </w:tr>
      <w:tr w:rsidR="0090698C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276" w:type="dxa"/>
            <w:vMerge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sz w:val="22"/>
              </w:rPr>
            </w:pPr>
          </w:p>
        </w:tc>
        <w:tc>
          <w:tcPr>
            <w:tcW w:w="2410" w:type="dxa"/>
            <w:gridSpan w:val="3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Нейтрофилы</w:t>
            </w:r>
          </w:p>
        </w:tc>
        <w:tc>
          <w:tcPr>
            <w:tcW w:w="992" w:type="dxa"/>
            <w:vMerge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sz w:val="22"/>
              </w:rPr>
            </w:pPr>
          </w:p>
        </w:tc>
      </w:tr>
      <w:tr w:rsidR="0090698C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1276" w:type="dxa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</w:pPr>
            <w:r>
              <w:t>4,85</w:t>
            </w:r>
          </w:p>
        </w:tc>
        <w:tc>
          <w:tcPr>
            <w:tcW w:w="851" w:type="dxa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</w:pPr>
            <w:r>
              <w:t>-</w:t>
            </w:r>
          </w:p>
        </w:tc>
        <w:tc>
          <w:tcPr>
            <w:tcW w:w="1416" w:type="dxa"/>
            <w:gridSpan w:val="2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994" w:type="dxa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</w:pPr>
            <w:r>
              <w:t>41</w:t>
            </w:r>
          </w:p>
        </w:tc>
        <w:tc>
          <w:tcPr>
            <w:tcW w:w="992" w:type="dxa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</w:pPr>
            <w:r>
              <w:t>44</w:t>
            </w:r>
          </w:p>
        </w:tc>
        <w:tc>
          <w:tcPr>
            <w:tcW w:w="850" w:type="dxa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</w:pPr>
            <w:r>
              <w:t>7</w:t>
            </w:r>
          </w:p>
        </w:tc>
      </w:tr>
    </w:tbl>
    <w:p w:rsidR="0090698C" w:rsidRDefault="0090698C">
      <w:pPr>
        <w:pStyle w:val="Normal"/>
        <w:tabs>
          <w:tab w:val="left" w:pos="1247"/>
          <w:tab w:val="left" w:pos="2379"/>
        </w:tabs>
        <w:spacing w:line="360" w:lineRule="auto"/>
        <w:ind w:firstLine="720"/>
        <w:rPr>
          <w:sz w:val="24"/>
        </w:rPr>
      </w:pPr>
    </w:p>
    <w:p w:rsidR="0090698C" w:rsidRDefault="0090698C">
      <w:pPr>
        <w:pStyle w:val="Normal"/>
        <w:tabs>
          <w:tab w:val="left" w:pos="1247"/>
          <w:tab w:val="left" w:pos="2379"/>
        </w:tabs>
        <w:spacing w:line="360" w:lineRule="auto"/>
        <w:ind w:firstLine="720"/>
        <w:rPr>
          <w:sz w:val="24"/>
        </w:rPr>
      </w:pPr>
    </w:p>
    <w:p w:rsidR="0090698C" w:rsidRDefault="0090698C">
      <w:pPr>
        <w:pStyle w:val="Normal"/>
        <w:tabs>
          <w:tab w:val="left" w:pos="1247"/>
          <w:tab w:val="left" w:pos="2379"/>
        </w:tabs>
        <w:spacing w:line="360" w:lineRule="auto"/>
        <w:ind w:firstLine="720"/>
        <w:rPr>
          <w:sz w:val="24"/>
        </w:rPr>
      </w:pPr>
    </w:p>
    <w:p w:rsidR="0090698C" w:rsidRDefault="0090698C">
      <w:pPr>
        <w:pStyle w:val="Normal"/>
        <w:tabs>
          <w:tab w:val="left" w:pos="1247"/>
          <w:tab w:val="left" w:pos="2379"/>
        </w:tabs>
        <w:spacing w:line="360" w:lineRule="auto"/>
        <w:ind w:firstLine="720"/>
        <w:rPr>
          <w:sz w:val="24"/>
        </w:rPr>
      </w:pPr>
      <w:r>
        <w:rPr>
          <w:sz w:val="24"/>
        </w:rPr>
        <w:t xml:space="preserve">Общий анализ мочи </w:t>
      </w:r>
    </w:p>
    <w:tbl>
      <w:tblPr>
        <w:tblW w:w="0" w:type="auto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6"/>
        <w:gridCol w:w="3402"/>
      </w:tblGrid>
      <w:tr w:rsidR="0090698C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3136" w:type="dxa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3402" w:type="dxa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90698C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3402" w:type="dxa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Соломенный</w:t>
            </w:r>
          </w:p>
        </w:tc>
      </w:tr>
      <w:tr w:rsidR="0090698C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РН</w:t>
            </w:r>
          </w:p>
        </w:tc>
        <w:tc>
          <w:tcPr>
            <w:tcW w:w="3402" w:type="dxa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кислая</w:t>
            </w:r>
          </w:p>
        </w:tc>
      </w:tr>
      <w:tr w:rsidR="0090698C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Удельный вес</w:t>
            </w:r>
          </w:p>
        </w:tc>
        <w:tc>
          <w:tcPr>
            <w:tcW w:w="3402" w:type="dxa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1012</w:t>
            </w:r>
          </w:p>
        </w:tc>
      </w:tr>
      <w:tr w:rsidR="0090698C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Прозрачность</w:t>
            </w:r>
          </w:p>
        </w:tc>
        <w:tc>
          <w:tcPr>
            <w:tcW w:w="3402" w:type="dxa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полная</w:t>
            </w:r>
          </w:p>
        </w:tc>
      </w:tr>
      <w:tr w:rsidR="0090698C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Белок</w:t>
            </w:r>
          </w:p>
        </w:tc>
        <w:tc>
          <w:tcPr>
            <w:tcW w:w="3402" w:type="dxa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0698C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3402" w:type="dxa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0698C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Ацетон</w:t>
            </w:r>
          </w:p>
        </w:tc>
        <w:tc>
          <w:tcPr>
            <w:tcW w:w="3402" w:type="dxa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0698C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Желчные пигменты</w:t>
            </w:r>
          </w:p>
        </w:tc>
        <w:tc>
          <w:tcPr>
            <w:tcW w:w="3402" w:type="dxa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0698C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Уробилин</w:t>
            </w:r>
          </w:p>
        </w:tc>
        <w:tc>
          <w:tcPr>
            <w:tcW w:w="3402" w:type="dxa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</w:p>
        </w:tc>
      </w:tr>
      <w:tr w:rsidR="0090698C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Эпителиальные клетки плоские</w:t>
            </w:r>
          </w:p>
        </w:tc>
        <w:tc>
          <w:tcPr>
            <w:tcW w:w="3402" w:type="dxa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Плоские, немного</w:t>
            </w:r>
          </w:p>
        </w:tc>
      </w:tr>
      <w:tr w:rsidR="0090698C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Лейкоциты</w:t>
            </w:r>
          </w:p>
        </w:tc>
        <w:tc>
          <w:tcPr>
            <w:tcW w:w="3402" w:type="dxa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Единичные в препарате</w:t>
            </w:r>
          </w:p>
        </w:tc>
      </w:tr>
      <w:tr w:rsidR="0090698C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Эритроциты</w:t>
            </w:r>
          </w:p>
        </w:tc>
        <w:tc>
          <w:tcPr>
            <w:tcW w:w="3402" w:type="dxa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0698C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Слизь</w:t>
            </w:r>
          </w:p>
        </w:tc>
        <w:tc>
          <w:tcPr>
            <w:tcW w:w="3402" w:type="dxa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0698C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Бактерии</w:t>
            </w:r>
          </w:p>
        </w:tc>
        <w:tc>
          <w:tcPr>
            <w:tcW w:w="3402" w:type="dxa"/>
          </w:tcPr>
          <w:p w:rsidR="0090698C" w:rsidRDefault="0090698C">
            <w:pPr>
              <w:pStyle w:val="Normal"/>
              <w:tabs>
                <w:tab w:val="left" w:pos="1247"/>
                <w:tab w:val="left" w:pos="237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90698C" w:rsidRDefault="0090698C">
      <w:pPr>
        <w:spacing w:line="360" w:lineRule="auto"/>
        <w:rPr>
          <w:b/>
          <w:sz w:val="28"/>
          <w:u w:val="single"/>
        </w:rPr>
      </w:pPr>
    </w:p>
    <w:p w:rsidR="0090698C" w:rsidRDefault="0090698C" w:rsidP="00B718A3">
      <w:pPr>
        <w:spacing w:line="360" w:lineRule="auto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Клинический диагноз и его обоснование.</w:t>
      </w:r>
    </w:p>
    <w:p w:rsidR="0090698C" w:rsidRDefault="0090698C" w:rsidP="00B718A3">
      <w:pPr>
        <w:spacing w:line="360" w:lineRule="auto"/>
        <w:jc w:val="both"/>
      </w:pPr>
    </w:p>
    <w:p w:rsidR="0090698C" w:rsidRDefault="0090698C" w:rsidP="00B718A3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Ювенильный идиопатический </w:t>
      </w:r>
      <w:proofErr w:type="gramStart"/>
      <w:r>
        <w:rPr>
          <w:sz w:val="24"/>
        </w:rPr>
        <w:t>дерматомиозит  подострого</w:t>
      </w:r>
      <w:proofErr w:type="gramEnd"/>
      <w:r>
        <w:rPr>
          <w:sz w:val="24"/>
        </w:rPr>
        <w:t xml:space="preserve"> течения, 0-1 степени активности.</w:t>
      </w:r>
    </w:p>
    <w:p w:rsidR="0090698C" w:rsidRDefault="0090698C" w:rsidP="00B718A3">
      <w:pPr>
        <w:pStyle w:val="a4"/>
        <w:jc w:val="both"/>
      </w:pPr>
      <w:r>
        <w:t xml:space="preserve">Диагноз поставлен на основании данных анамнеза (в начале заболевания после перенесенного ОРВИ возникли боли в мышцах и мышечная слабость преимущественно в проксимальных группах мышц), наличие артрита и </w:t>
      </w:r>
      <w:proofErr w:type="spellStart"/>
      <w:r>
        <w:t>гиперимии</w:t>
      </w:r>
      <w:proofErr w:type="spellEnd"/>
      <w:r>
        <w:t xml:space="preserve"> над поражёнными суставами. Хороший ответ на глюкокортикоидную и цитостатическую терапию также подтверждает диагноз. Наличие 3-х летнего анамнеза заболевания о подостром течении. В настоящее время признаки активности процесса отсутствуют, за исключением легкой эритемы кожи над суставами (0-1 степень активности).</w:t>
      </w:r>
    </w:p>
    <w:p w:rsidR="0090698C" w:rsidRDefault="0090698C" w:rsidP="00B718A3">
      <w:pPr>
        <w:spacing w:line="360" w:lineRule="auto"/>
        <w:jc w:val="both"/>
      </w:pPr>
    </w:p>
    <w:p w:rsidR="0090698C" w:rsidRDefault="0090698C" w:rsidP="00B718A3">
      <w:pPr>
        <w:spacing w:line="360" w:lineRule="auto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Лечение и его обоснование.</w:t>
      </w:r>
    </w:p>
    <w:p w:rsidR="0090698C" w:rsidRDefault="0090698C" w:rsidP="00B718A3">
      <w:pPr>
        <w:spacing w:line="360" w:lineRule="auto"/>
        <w:jc w:val="both"/>
        <w:rPr>
          <w:b/>
          <w:sz w:val="28"/>
          <w:u w:val="single"/>
        </w:rPr>
      </w:pPr>
    </w:p>
    <w:p w:rsidR="0090698C" w:rsidRDefault="0090698C" w:rsidP="00B718A3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proofErr w:type="spellStart"/>
      <w:r>
        <w:rPr>
          <w:sz w:val="24"/>
        </w:rPr>
        <w:lastRenderedPageBreak/>
        <w:t>Метилпреднизолон</w:t>
      </w:r>
      <w:proofErr w:type="spellEnd"/>
      <w:r>
        <w:rPr>
          <w:sz w:val="24"/>
        </w:rPr>
        <w:t xml:space="preserve"> 8 мг (2 т) в сутки. Позволяет получить стабильный </w:t>
      </w:r>
      <w:proofErr w:type="spellStart"/>
      <w:r>
        <w:rPr>
          <w:sz w:val="24"/>
        </w:rPr>
        <w:t>иммуносупресивный</w:t>
      </w:r>
      <w:proofErr w:type="spellEnd"/>
      <w:r>
        <w:rPr>
          <w:sz w:val="24"/>
        </w:rPr>
        <w:t xml:space="preserve"> эффект.</w:t>
      </w:r>
    </w:p>
    <w:p w:rsidR="0090698C" w:rsidRDefault="0090698C" w:rsidP="00B718A3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proofErr w:type="spellStart"/>
      <w:r>
        <w:rPr>
          <w:sz w:val="24"/>
        </w:rPr>
        <w:t>Панангин</w:t>
      </w:r>
      <w:proofErr w:type="spellEnd"/>
      <w:r>
        <w:rPr>
          <w:sz w:val="24"/>
        </w:rPr>
        <w:t xml:space="preserve"> 1 драже сутки. Для </w:t>
      </w:r>
      <w:proofErr w:type="spellStart"/>
      <w:r>
        <w:rPr>
          <w:sz w:val="24"/>
        </w:rPr>
        <w:t>рофилактики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гипокалиемии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гипомагниемии</w:t>
      </w:r>
      <w:proofErr w:type="spellEnd"/>
      <w:r>
        <w:rPr>
          <w:sz w:val="24"/>
        </w:rPr>
        <w:t>.</w:t>
      </w:r>
    </w:p>
    <w:p w:rsidR="0090698C" w:rsidRDefault="0090698C" w:rsidP="00B718A3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proofErr w:type="spellStart"/>
      <w:r>
        <w:rPr>
          <w:sz w:val="24"/>
        </w:rPr>
        <w:t>Вентер</w:t>
      </w:r>
      <w:proofErr w:type="spellEnd"/>
      <w:r>
        <w:rPr>
          <w:sz w:val="24"/>
        </w:rPr>
        <w:t xml:space="preserve"> 500 мг в сутки. Профилактика язвенной болезни.</w:t>
      </w:r>
    </w:p>
    <w:sectPr w:rsidR="0090698C" w:rsidSect="00B718A3">
      <w:pgSz w:w="11906" w:h="16838"/>
      <w:pgMar w:top="1440" w:right="85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476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2C"/>
    <w:rsid w:val="000E2491"/>
    <w:rsid w:val="003A7731"/>
    <w:rsid w:val="005253D6"/>
    <w:rsid w:val="006D3DB1"/>
    <w:rsid w:val="0090698C"/>
    <w:rsid w:val="00B1562C"/>
    <w:rsid w:val="00B7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F2CEA-812C-49EA-B2AB-6C50BF50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pPr>
      <w:keepNext/>
      <w:widowControl w:val="0"/>
      <w:outlineLvl w:val="1"/>
    </w:pPr>
    <w:rPr>
      <w:sz w:val="24"/>
      <w:u w:val="single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Pr>
      <w:sz w:val="28"/>
    </w:rPr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spacing w:line="36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> 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YaYaWV</dc:creator>
  <cp:keywords/>
  <cp:lastModifiedBy>Тест</cp:lastModifiedBy>
  <cp:revision>2</cp:revision>
  <cp:lastPrinted>2001-09-27T20:29:00Z</cp:lastPrinted>
  <dcterms:created xsi:type="dcterms:W3CDTF">2024-05-19T18:18:00Z</dcterms:created>
  <dcterms:modified xsi:type="dcterms:W3CDTF">2024-05-19T18:18:00Z</dcterms:modified>
</cp:coreProperties>
</file>