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44E35">
        <w:rPr>
          <w:rFonts w:ascii="Times New Roman" w:hAnsi="Times New Roman"/>
          <w:b/>
          <w:sz w:val="28"/>
          <w:szCs w:val="28"/>
        </w:rPr>
        <w:t>ОГЛАВЛЕНИЕ</w:t>
      </w:r>
    </w:p>
    <w:p w:rsidR="00F44E35" w:rsidRPr="00083A3A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ВВЕДЕНИЕ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ОСНОВНАЯ ЧАСТЬ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ГЛАВА I. ОБЗОР ЛИТЕРАТУРЫ</w:t>
      </w:r>
    </w:p>
    <w:p w:rsidR="00206A5F" w:rsidRPr="00F44E35" w:rsidRDefault="00206A5F" w:rsidP="00C41B3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>Понятие здоровья и факторы, влияющие на здоровье</w:t>
      </w:r>
    </w:p>
    <w:p w:rsidR="00206A5F" w:rsidRPr="00F44E35" w:rsidRDefault="00206A5F" w:rsidP="00C41B3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>Заболеваемость – ведущий показатель общественного здоровья</w:t>
      </w:r>
    </w:p>
    <w:p w:rsidR="00206A5F" w:rsidRPr="00F44E35" w:rsidRDefault="00206A5F" w:rsidP="00C41B3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>Здоровье и образ жизни студентов</w:t>
      </w:r>
    </w:p>
    <w:p w:rsidR="00206A5F" w:rsidRPr="00F44E35" w:rsidRDefault="00206A5F" w:rsidP="00C41B3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>Основные принципы распределения студентов на медицинские гру</w:t>
      </w:r>
      <w:r w:rsidRPr="00F44E35">
        <w:rPr>
          <w:rFonts w:ascii="Times New Roman" w:hAnsi="Times New Roman"/>
          <w:sz w:val="28"/>
          <w:szCs w:val="24"/>
        </w:rPr>
        <w:t>п</w:t>
      </w:r>
      <w:r w:rsidRPr="00F44E35">
        <w:rPr>
          <w:rFonts w:ascii="Times New Roman" w:hAnsi="Times New Roman"/>
          <w:sz w:val="28"/>
          <w:szCs w:val="24"/>
        </w:rPr>
        <w:t>пы по физкультуре</w:t>
      </w:r>
    </w:p>
    <w:p w:rsidR="00206A5F" w:rsidRPr="00F44E35" w:rsidRDefault="00206A5F" w:rsidP="00C41B3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>Заболеваемость студентов, обучающихся  в медицинских учебных з</w:t>
      </w:r>
      <w:r w:rsidRPr="00F44E35">
        <w:rPr>
          <w:rFonts w:ascii="Times New Roman" w:hAnsi="Times New Roman"/>
          <w:sz w:val="28"/>
          <w:szCs w:val="24"/>
        </w:rPr>
        <w:t>а</w:t>
      </w:r>
      <w:r w:rsidRPr="00F44E35">
        <w:rPr>
          <w:rFonts w:ascii="Times New Roman" w:hAnsi="Times New Roman"/>
          <w:sz w:val="28"/>
          <w:szCs w:val="24"/>
        </w:rPr>
        <w:t>ведениях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ГЛАВА II. МАТЕРИАЛЫ И МЕТОДЫ ИССЛЕДОВАНИЯ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ГЛАВА III. ЗАБОЛЕВАЕМОСТЬ СТУДЕНТОВ ИГМА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 xml:space="preserve"> 3.1. Анализ заболеваемости населения Удмуртской Республики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 xml:space="preserve"> 3.2. Заболеваемость студентов ИГМА по данным обращаемости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 xml:space="preserve"> 3.3. Анализ заболеваемости по данным медицинских осмотров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4"/>
        </w:rPr>
        <w:t xml:space="preserve"> 3.4. Заболеваемость с временной утратой трудоспособности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ЗАКЛЮЧЕНИЕ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ВЫВОДЫ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РЕКОМЕНДАЦИИ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ПРИЛОЖЕНИЯ</w:t>
      </w:r>
    </w:p>
    <w:p w:rsidR="00206A5F" w:rsidRPr="00F44E35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A5F" w:rsidRPr="00F44E3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44E35" w:rsidRPr="00083A3A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Одним из важнейших итогов реализации национального проекта «Здор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вье», который включает три приоритетных направления – развитие первичной медицинской помощи, обеспечение населения высокотехнологичной медици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ской помощью, управление проектом и его информационная поддержка, предп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лагают укрепление здоровья населения Российской Федерации. В Концепции о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раслевой программы «Охрана и укрепление здоровья здоровых на 2003 – 2010 г», предусматривается сочетание общественных мероприятий по профилактике заб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леваний и коррекции факторов риска среди всего населения с конкретной целен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правленностью мероприятий в группах населения высокого риска, к которым вполне обоснованно можно отнести подростков и студенческую молодежь.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Проблема сохранения здоровья молодого поколения приобретает в насто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щее время особую остроту. По имеющимся данным [1], лишь около 15% вновь родившихся являются здоровыми. За годы обучения в школе в 10 раз увеличилось число детей с нарушениями зрения, до 70% школьников имеют нарушения опо</w:t>
      </w:r>
      <w:r w:rsidRPr="00F44E35">
        <w:rPr>
          <w:rFonts w:ascii="Times New Roman" w:hAnsi="Times New Roman"/>
          <w:sz w:val="28"/>
          <w:szCs w:val="28"/>
        </w:rPr>
        <w:t>р</w:t>
      </w:r>
      <w:r w:rsidRPr="00F44E35">
        <w:rPr>
          <w:rFonts w:ascii="Times New Roman" w:hAnsi="Times New Roman"/>
          <w:sz w:val="28"/>
          <w:szCs w:val="28"/>
        </w:rPr>
        <w:t>но – двигательного аппарата, в 4 раза возросло число детей с нарушениями пс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хического здоровья, в 3 раза – с заболеваниями органов пищеварения. Более 60% подростков-девочек нуждаются в гинекологической помощи, более половины юношей имеют отсрочку от призыва в армию по состоянию здоровья.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 xml:space="preserve">Среди старших школьников число курящих достигает 70%, число часто употребляющих алкоголь – 30%, прогрессивно растет количество наркоманов, токсикоманов, растет подростковая проституция. 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Более 60% студентов средних и высших учебных заведений страдают хр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ническими заболеваниями. 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Государственном докладе о состоянии здоровья населения Российской Федерации за 2005 г.[11], также указывается на ухудшение состояния здоровья подростков за последние годы. Так, общая заболеваемость подрос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ков (15-17 лет) в 2005г. по сравнению с 2004 г. увеличилась на 2,9% и сост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вила 177 526,5 на 100 тыс. подростков ( в 2004 – 172 493,9). Рост заболеваемости произошел по всем классам болезней, прежде всего за счет инфекц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онных и паразитарных болезней – на 24,8%, новообразований на 6,5%, болезням нервной системы – на 6,0%, боле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ням костно-мышечной системы – на 5,3%, болезням мочеполовой системы – 4,5%, травмам и отравлениям – на 4,4%, болезням кожи и подкожной клетчатки – на 2,6%.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На фоне соматической патологии отмечается увеличение заболеваний орг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нов репродуктивной системы у девочек – подростков. В структуре гинекологич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ских заболеваемости в возрасте 10 – 18 лет ведущее место занимают расстройства менструального цикла и воспалительные заболевания. За последние 5 лет  отм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чается снижение числа абортов у девочек – подростков  на 21,6%. Однако, по - прежнему каждый 10-й аборт в стране производится до 20 лет.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Несколько снизились показатели заболеваемости подростков инфекциями передаваемыми половым путем: в 2005г. было выявлено 2782 заболевания сиф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lastRenderedPageBreak/>
        <w:t>лисом ( в 2004 г. – 3290), гонореей – 5118 ( в 2004г. – 6316). У девочек- подрос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ков в 2005 г. сифилис регистрировался в 2,8 раза чаще, чем у юношей.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Показатель распространенности алкоголизма среди подростков составляет 27,5% на 100 000 подростков, за последние 2 года он увеличился в 1,5 раза. Ра</w:t>
      </w:r>
      <w:r w:rsidRPr="00F44E35">
        <w:rPr>
          <w:rFonts w:ascii="Times New Roman" w:hAnsi="Times New Roman"/>
          <w:sz w:val="28"/>
          <w:szCs w:val="28"/>
        </w:rPr>
        <w:t>с</w:t>
      </w:r>
      <w:r w:rsidRPr="00F44E35">
        <w:rPr>
          <w:rFonts w:ascii="Times New Roman" w:hAnsi="Times New Roman"/>
          <w:sz w:val="28"/>
          <w:szCs w:val="28"/>
        </w:rPr>
        <w:t xml:space="preserve">пространенность наркомании за последние 10 лет возросла в 14,8 раза.  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всем при этом не стоит забывать о том, что подростковый возраст явл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ется важным периодом роста и формирования человека, когда возникает, развив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ется и завершается ряд морфологических и психологических процессов, происх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дит становление многих жизненно важных систем организма. В этом периоде 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ловек наиболее уязвим к различного рода катаклизмам, происходящим вокруг 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го, восприимчив к воздействующим факторам среды.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Подростки – это особый контингент в составе населения, состояние здор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вья которого является барометром социального благополучия и медицинского обеспечения </w:t>
      </w:r>
      <w:r w:rsidR="00C41B37" w:rsidRPr="00F44E35">
        <w:rPr>
          <w:rFonts w:ascii="Times New Roman" w:hAnsi="Times New Roman"/>
          <w:sz w:val="28"/>
          <w:szCs w:val="28"/>
        </w:rPr>
        <w:t>предшествующего</w:t>
      </w:r>
      <w:r w:rsidRPr="00F44E35">
        <w:rPr>
          <w:rFonts w:ascii="Times New Roman" w:hAnsi="Times New Roman"/>
          <w:sz w:val="28"/>
          <w:szCs w:val="28"/>
        </w:rPr>
        <w:t xml:space="preserve"> периода детства, а также предвестником измен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 xml:space="preserve">ний в здоровье населения в последующие годы[9]. 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то же время, реформирование образовательной системы высшей школы, интенсификация учебной деятельности и переход от традиционной организации учебного процесса к инновационным технологиям, существенным образом пов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шает требования к состоянию здоровья студентов, среда которых формируется из тех же самых детей и подростков уже в школьные годы имеющих многочисле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ные заболевания. К тому же, ситуация обостр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ется еще и в связи с возрастающей популярностью в молодежной среде привлекательности различных видов не 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зической деятельности и с ростом распространенности вредных привычек.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Одним из главных факторов неудовлетворительного состояния здоровья студентов (и не только) является образ жизни. Удельный вес его вклада в показ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тель смертности составляет почти 60% при отравлениях и травмах, 43% при и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фекционных заболеваниях, 30-35% при болезнях кровообращения, дыхания, п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щеварения и нервной системы. Доля влияния на развитие заболевания такого фа</w:t>
      </w:r>
      <w:r w:rsidRPr="00F44E35">
        <w:rPr>
          <w:rFonts w:ascii="Times New Roman" w:hAnsi="Times New Roman"/>
          <w:sz w:val="28"/>
          <w:szCs w:val="28"/>
        </w:rPr>
        <w:t>к</w:t>
      </w:r>
      <w:r w:rsidRPr="00F44E35">
        <w:rPr>
          <w:rFonts w:ascii="Times New Roman" w:hAnsi="Times New Roman"/>
          <w:sz w:val="28"/>
          <w:szCs w:val="28"/>
        </w:rPr>
        <w:t>тора, как образ жизни, составляет более 60% при ишемической болезни сердца и сосудистых поражениях головного мозга, 35% при злокачественных новообраз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ваниях. Особенно отрицательно влияют на здоровье вредные привычки. По да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ным ВОЗ, от такой наиболее ра</w:t>
      </w:r>
      <w:r w:rsidRPr="00F44E35">
        <w:rPr>
          <w:rFonts w:ascii="Times New Roman" w:hAnsi="Times New Roman"/>
          <w:sz w:val="28"/>
          <w:szCs w:val="28"/>
        </w:rPr>
        <w:t>с</w:t>
      </w:r>
      <w:r w:rsidRPr="00F44E35">
        <w:rPr>
          <w:rFonts w:ascii="Times New Roman" w:hAnsi="Times New Roman"/>
          <w:sz w:val="28"/>
          <w:szCs w:val="28"/>
        </w:rPr>
        <w:t xml:space="preserve">пространенной вредной привычки, как курение, ежегодно в мире умирают 6,8 </w:t>
      </w:r>
      <w:r w:rsidR="00F44E35" w:rsidRPr="00F44E35">
        <w:rPr>
          <w:rFonts w:ascii="Times New Roman" w:hAnsi="Times New Roman"/>
          <w:sz w:val="28"/>
          <w:szCs w:val="28"/>
        </w:rPr>
        <w:t>млн.</w:t>
      </w:r>
      <w:r w:rsidRPr="00F44E35">
        <w:rPr>
          <w:rFonts w:ascii="Times New Roman" w:hAnsi="Times New Roman"/>
          <w:sz w:val="28"/>
          <w:szCs w:val="28"/>
        </w:rPr>
        <w:t xml:space="preserve"> человек.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 большому сожалению культура здорового образа жизни пока еще не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лучила широкого распространения среди студенческой молодежи. Поэт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му так важна разработка программ воспитания здоровому образу жизни  для совреме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ных подростков. Сохранение здоровья, индивидуальное психическое и физич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ское развитие обучающихся, формирование общемедицинской культуры человека и устойчивой мотивации на ведение здорового образа жизни должны стать осно</w:t>
      </w:r>
      <w:r w:rsidRPr="00F44E35">
        <w:rPr>
          <w:rFonts w:ascii="Times New Roman" w:hAnsi="Times New Roman"/>
          <w:sz w:val="28"/>
          <w:szCs w:val="28"/>
        </w:rPr>
        <w:t>в</w:t>
      </w:r>
      <w:r w:rsidRPr="00F44E35">
        <w:rPr>
          <w:rFonts w:ascii="Times New Roman" w:hAnsi="Times New Roman"/>
          <w:sz w:val="28"/>
          <w:szCs w:val="28"/>
        </w:rPr>
        <w:t>ными тезисами разработанных программ.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Укрепление здоровья обучающихся непременно должно стать одной из приоритетных задач любого учебного заведения, так как молодые специал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сты не только служат базой и резервом для работы в различных отраслях народного х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lastRenderedPageBreak/>
        <w:t>зяйства после окончания ВУЗа, но и являются важной составной частью инте</w:t>
      </w:r>
      <w:r w:rsidRPr="00F44E35">
        <w:rPr>
          <w:rFonts w:ascii="Times New Roman" w:hAnsi="Times New Roman"/>
          <w:sz w:val="28"/>
          <w:szCs w:val="28"/>
        </w:rPr>
        <w:t>л</w:t>
      </w:r>
      <w:r w:rsidRPr="00F44E35">
        <w:rPr>
          <w:rFonts w:ascii="Times New Roman" w:hAnsi="Times New Roman"/>
          <w:sz w:val="28"/>
          <w:szCs w:val="28"/>
        </w:rPr>
        <w:t>лектуального потенциала страны.</w:t>
      </w:r>
    </w:p>
    <w:p w:rsidR="00206A5F" w:rsidRPr="00F44E35" w:rsidRDefault="00206A5F" w:rsidP="00C41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проблема состояния здоровья  студенческой молодежи я</w:t>
      </w:r>
      <w:r w:rsidRPr="00F44E35">
        <w:rPr>
          <w:rFonts w:ascii="Times New Roman" w:hAnsi="Times New Roman"/>
          <w:sz w:val="28"/>
          <w:szCs w:val="28"/>
        </w:rPr>
        <w:t>в</w:t>
      </w:r>
      <w:r w:rsidRPr="00F44E35">
        <w:rPr>
          <w:rFonts w:ascii="Times New Roman" w:hAnsi="Times New Roman"/>
          <w:sz w:val="28"/>
          <w:szCs w:val="28"/>
        </w:rPr>
        <w:t>ляется одной из самых актуальных для общества в целом и для медицины и пед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гогики в частности.</w:t>
      </w:r>
    </w:p>
    <w:p w:rsidR="00206A5F" w:rsidRPr="00083A3A" w:rsidRDefault="00F44E35" w:rsidP="00C41B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A5F" w:rsidRPr="00F44E35"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F44E35" w:rsidRPr="00083A3A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5F" w:rsidRPr="00083A3A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 xml:space="preserve">ГЛАВА </w:t>
      </w:r>
      <w:r w:rsidRPr="00F44E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44E35">
        <w:rPr>
          <w:rFonts w:ascii="Times New Roman" w:hAnsi="Times New Roman"/>
          <w:b/>
          <w:sz w:val="28"/>
          <w:szCs w:val="28"/>
        </w:rPr>
        <w:t>. ОБЗОР ЛИТЕРАТУРЫ</w:t>
      </w:r>
    </w:p>
    <w:p w:rsidR="00F44E35" w:rsidRPr="00083A3A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1.1.Понятие здоровья и факторы, влияющие на него</w:t>
      </w:r>
    </w:p>
    <w:p w:rsidR="00F44E35" w:rsidRPr="00083A3A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современной литературе более ста определений и подходов к понятию «здоровье». Они часто сводятся к следующим формулировкам:</w:t>
      </w:r>
    </w:p>
    <w:p w:rsidR="00206A5F" w:rsidRPr="00F44E35" w:rsidRDefault="00206A5F" w:rsidP="00083A3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8"/>
        </w:rPr>
        <w:t>здоровье – отсутствие болезней;</w:t>
      </w:r>
    </w:p>
    <w:p w:rsidR="00206A5F" w:rsidRPr="00F44E35" w:rsidRDefault="00206A5F" w:rsidP="00083A3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8"/>
        </w:rPr>
        <w:t>здоровье и норма – понятия тождественные;</w:t>
      </w:r>
    </w:p>
    <w:p w:rsidR="00206A5F" w:rsidRPr="00F44E35" w:rsidRDefault="00206A5F" w:rsidP="00083A3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8"/>
        </w:rPr>
        <w:t>здоровье как единство морфологических, психоэмоциональных и с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циально-экономических составляющих.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Как известно, общепринятым является сформулированное еще в 1948 году ВОЗ определение понятия « здоровье». Итак, «здоровье является состоянием по</w:t>
      </w:r>
      <w:r w:rsidRPr="00F44E35">
        <w:rPr>
          <w:rFonts w:ascii="Times New Roman" w:hAnsi="Times New Roman"/>
          <w:sz w:val="28"/>
          <w:szCs w:val="28"/>
        </w:rPr>
        <w:t>л</w:t>
      </w:r>
      <w:r w:rsidRPr="00F44E35">
        <w:rPr>
          <w:rFonts w:ascii="Times New Roman" w:hAnsi="Times New Roman"/>
          <w:sz w:val="28"/>
          <w:szCs w:val="28"/>
        </w:rPr>
        <w:t>ного физического, духовного и социального благополучия, а не только отсутств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ем болезней и физических дефектов». ВОЗ провозглашен принцип, в соответствии с которым «обладание наивысшим достижимым уровнем здоровья является о</w:t>
      </w:r>
      <w:r w:rsidRPr="00F44E35">
        <w:rPr>
          <w:rFonts w:ascii="Times New Roman" w:hAnsi="Times New Roman"/>
          <w:sz w:val="28"/>
          <w:szCs w:val="28"/>
        </w:rPr>
        <w:t>д</w:t>
      </w:r>
      <w:r w:rsidRPr="00F44E35">
        <w:rPr>
          <w:rFonts w:ascii="Times New Roman" w:hAnsi="Times New Roman"/>
          <w:sz w:val="28"/>
          <w:szCs w:val="28"/>
        </w:rPr>
        <w:t xml:space="preserve">ним из основных прав каждого человека».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Принято выделять 4 уровня изучения здоровья: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1-й уровень - здоровье отдельного человека.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2-й уровень - здоровье малых или этнических групп – групповое здор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вье.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3-й уровень - здоровье населения, т.е. людей, проживающих на конкретой административно-территориальной единице (область, город, район и.т.д.).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4-й уровень – общественное здоровье - здоровье общества, населения стр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ны, контингента, мира, популяции в целом.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жизни мы чаще сталкиваемся с конкретными людьми и их здоровьем. В этом случае, если речь идет об отдельных людях, мы имеем дело с индивидуал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ным здоровьем, или с несколькими людьми, их сообществами, мы говорим о групповом здоровье, если речь идет о населении, проживающем в городах, на с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ле, определенной территории, о всем населении, вводим понятие здоровье поп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ляции, здоровье населения. Каждый уровень требует своих подходов, своего осмысления здоровья. Индивидуальное здоровье мы оцен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ваем по персональному самочувствию, наличию или отсутствию заболеваний, трудоспособности, физич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скому состоянию и развитию, личным ощущениям бытия, радости жизни и др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гими критериями и признаками. Для оценки здоровья общества, в свою очередь, мы абстрагируемся от отдельного, конкретного человека и переходим на язык м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дицинской и демографической статистики, на язык оценок группового и попул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ционного здоровья, или проще говоря – здоровья населения, общественного зд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ровья[8].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Здоровье человека может рассматриваться в различных аспектах: социал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но-биологическом, социально-политическом, экономическом, морально-этическом, психофизиологическом и др. Основной предпосылкой для этого явл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ется то, что нельзя определить здоровье и болезнь вообще, а следует г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ворить о здоровье и болезни людей. А это обязывает подходить к человеку не только как к </w:t>
      </w:r>
      <w:r w:rsidRPr="00F44E35">
        <w:rPr>
          <w:rFonts w:ascii="Times New Roman" w:hAnsi="Times New Roman"/>
          <w:sz w:val="28"/>
          <w:szCs w:val="28"/>
        </w:rPr>
        <w:lastRenderedPageBreak/>
        <w:t>биологическому, животному организму, а существу биосоц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альному. Здоровье современного человека выступает результатом естестве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ной эволюции вида homo sapiens, в которой все большее влияние занимают социальные факторы. Их роль за весь период развития цивилизации возросла во всех отношениях. Человек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лучает здоровье, в известном смысле, как дар природы. Однако в процессе соци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лизации уровень здоровья изменяется л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бо в одну, либо в другую сторону, законы природы проявляются в особой, свойственной только человеку форме. Биолог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ческое в человеке всегда опосредуется социальным. Проблема соотношения соц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ального и биологическ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го в человеке – основа к пониманию природы и характера его здоровья, его болезней, которые следует трактовать как биосоциальные кат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 xml:space="preserve">гории. 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общественное здоровье характеризуется одновременным комплексным воздействием социальных, поведенческих, биологических</w:t>
      </w:r>
      <w:r w:rsidR="00F44E35" w:rsidRPr="00F44E35">
        <w:rPr>
          <w:rFonts w:ascii="Times New Roman" w:hAnsi="Times New Roman"/>
          <w:sz w:val="28"/>
          <w:szCs w:val="28"/>
        </w:rPr>
        <w:t>,</w:t>
      </w:r>
      <w:r w:rsidRPr="00F44E35">
        <w:rPr>
          <w:rFonts w:ascii="Times New Roman" w:hAnsi="Times New Roman"/>
          <w:sz w:val="28"/>
          <w:szCs w:val="28"/>
        </w:rPr>
        <w:t xml:space="preserve"> геоф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зических и других факторов, из которых первостепенное по своему значению, а подчас и решающее воздействие имеют социальные факторы. Все перечисленные факторы могут быть определены как факторы риска. Что же такое факторы риска заболеваний?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Факторы риска – потенциально опасные для здоровья факторы поведенч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ского, биологического, генетического, экологического, социального х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рактера, окружающей и производственной среды, повышающие вероятность развития 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болеваний, их прогрессирования и неблагоприятного исхода.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отличие от непосредственных причин заболеваний ( бактерии, вирусы, недостаток или избыток каких-либо микроэлементов и др.) факторы риска де</w:t>
      </w:r>
      <w:r w:rsidRPr="00F44E35">
        <w:rPr>
          <w:rFonts w:ascii="Times New Roman" w:hAnsi="Times New Roman"/>
          <w:sz w:val="28"/>
          <w:szCs w:val="28"/>
        </w:rPr>
        <w:t>й</w:t>
      </w:r>
      <w:r w:rsidRPr="00F44E35">
        <w:rPr>
          <w:rFonts w:ascii="Times New Roman" w:hAnsi="Times New Roman"/>
          <w:sz w:val="28"/>
          <w:szCs w:val="28"/>
        </w:rPr>
        <w:t>ствуют опосредованно, создают неблагоприятный фон для возникновения и дал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нейшего развития заболеваний.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изучении общественного здоровья факторы, его определяющие, обы</w:t>
      </w:r>
      <w:r w:rsidRPr="00F44E35">
        <w:rPr>
          <w:rFonts w:ascii="Times New Roman" w:hAnsi="Times New Roman"/>
          <w:sz w:val="28"/>
          <w:szCs w:val="28"/>
        </w:rPr>
        <w:t>ч</w:t>
      </w:r>
      <w:r w:rsidRPr="00F44E35">
        <w:rPr>
          <w:rFonts w:ascii="Times New Roman" w:hAnsi="Times New Roman"/>
          <w:sz w:val="28"/>
          <w:szCs w:val="28"/>
        </w:rPr>
        <w:t>но соединяют в следующие группы:</w:t>
      </w:r>
    </w:p>
    <w:p w:rsidR="00206A5F" w:rsidRPr="00F44E35" w:rsidRDefault="00206A5F" w:rsidP="00083A3A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Социально-экономические факторы (условия труда, жилищные усл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вия, материальное благосостояние, уровень и качество питания, отдых и др.).</w:t>
      </w:r>
    </w:p>
    <w:p w:rsidR="00206A5F" w:rsidRPr="00F44E35" w:rsidRDefault="00206A5F" w:rsidP="00083A3A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Социально-биологические факторы (возраст, пол, предрасположе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ность к наследственным заболеваниям и др.)</w:t>
      </w:r>
    </w:p>
    <w:p w:rsidR="00206A5F" w:rsidRPr="00F44E35" w:rsidRDefault="00206A5F" w:rsidP="00083A3A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Экологические и природно-климатические факторы (загрязнение ср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ды обитания, среднегодовая температура, наличие экстремальных пр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родно-климатических факторов и др.).</w:t>
      </w:r>
    </w:p>
    <w:p w:rsidR="00206A5F" w:rsidRPr="00F44E35" w:rsidRDefault="00206A5F" w:rsidP="00083A3A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Организационные или медицинские факторы (обеспеченность насел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  медицинской помощью, качество медицинской помощи, доступность мед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ко- социальной помощи и др.).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Академик РАМН Ю.П. Лисицин приводит следующую группировку и уро</w:t>
      </w:r>
      <w:r w:rsidRPr="00F44E35">
        <w:rPr>
          <w:rFonts w:ascii="Times New Roman" w:hAnsi="Times New Roman"/>
          <w:sz w:val="28"/>
          <w:szCs w:val="28"/>
        </w:rPr>
        <w:t>в</w:t>
      </w:r>
      <w:r w:rsidRPr="00F44E35">
        <w:rPr>
          <w:rFonts w:ascii="Times New Roman" w:hAnsi="Times New Roman"/>
          <w:sz w:val="28"/>
          <w:szCs w:val="28"/>
        </w:rPr>
        <w:t>ни влияния обуславливающих здоровье факторов риска (табл. 1).</w:t>
      </w:r>
    </w:p>
    <w:p w:rsidR="00206A5F" w:rsidRPr="00F44E35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A5F" w:rsidRPr="00F44E35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Группировка обуславливающих здоровье факторов риска</w:t>
      </w:r>
    </w:p>
    <w:p w:rsidR="00F44E35" w:rsidRPr="00F44E35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6307"/>
        <w:gridCol w:w="2117"/>
      </w:tblGrid>
      <w:tr w:rsidR="00206A5F" w:rsidRPr="00F44E3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Сфера вли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я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нияфакторов на зд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ровье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Группы факторов риска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Удельный вес, % факторов риска</w:t>
            </w:r>
          </w:p>
        </w:tc>
      </w:tr>
      <w:tr w:rsidR="00206A5F" w:rsidRPr="00F44E3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Образ жизни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Курение, употребление алкоголя, несбалансированное питание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Стрессовые ситуации (дистрессы)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Вредные условия труда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Гиподинамия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Плохие материально-бытовые условия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Потребление наркотиков, злоупотребление лекарствами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Непрочность семей, одиночество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Низкий культурный и образовательный уровень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Высокий уровень урбанизации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49- 53</w:t>
            </w:r>
          </w:p>
        </w:tc>
      </w:tr>
      <w:tr w:rsidR="00206A5F" w:rsidRPr="00F44E3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Генетика, биол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гия человека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Предрасположенность к наследственным заболеваниям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 xml:space="preserve">Предрасположенность к дегенеративным болезням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18-22</w:t>
            </w:r>
          </w:p>
        </w:tc>
      </w:tr>
      <w:tr w:rsidR="00206A5F" w:rsidRPr="00F44E3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Внешняя среда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Загрязнение канцерогенами и др. вредными веществами воздуха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Загрязнение канцерогенами и другими вредными веществами воды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Загрязнение почвы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Резкие смены атмосферных явлений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Повышенные гелиокосмические, радиационные, магнитные и др. 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з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17-20</w:t>
            </w:r>
          </w:p>
        </w:tc>
      </w:tr>
      <w:tr w:rsidR="00206A5F" w:rsidRPr="00F44E3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Неэффективность профилактических мероприятий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Низкое качество медицинской помощи</w:t>
            </w:r>
          </w:p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Несвоевременность медицинской 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</w:tr>
    </w:tbl>
    <w:p w:rsidR="00206A5F" w:rsidRPr="00F44E35" w:rsidRDefault="00206A5F" w:rsidP="00083A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Вместе с тем, разделение факторов на те или иные группы весьма условно, так как население подвергается комплексному воздействию множес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ва факторов, кроме того, факторы, влияющие на здоровье взаимодействуют друг с другом, м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няются во времени и пространстве, что необходимо учит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вать при проведении комплексных медико-социальных исследований[7].</w:t>
      </w:r>
    </w:p>
    <w:p w:rsidR="00F44E35" w:rsidRPr="00C41B37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1.2. Заболеваемость – ведущий показатель общественного здоровья</w:t>
      </w:r>
    </w:p>
    <w:p w:rsidR="00F44E35" w:rsidRPr="00C41B37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Заболеваемость – является одним из важнейших критериев, характеризу</w:t>
      </w:r>
      <w:r w:rsidRPr="00F44E35">
        <w:rPr>
          <w:rFonts w:ascii="Times New Roman" w:hAnsi="Times New Roman"/>
          <w:sz w:val="28"/>
          <w:szCs w:val="28"/>
        </w:rPr>
        <w:t>ю</w:t>
      </w:r>
      <w:r w:rsidRPr="00F44E35">
        <w:rPr>
          <w:rFonts w:ascii="Times New Roman" w:hAnsi="Times New Roman"/>
          <w:sz w:val="28"/>
          <w:szCs w:val="28"/>
        </w:rPr>
        <w:t>щих здоровье населения. Под заболеваемостью подразумевается показатель, х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рактеризующий распространенность, структуру и динамику зарегис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рированных болезней среди населения в целом или в отдельных его группах (возрастных,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ловых, территориальных, профессиональных и др.) и служащий одним из крит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риев оценки работы врача, медицинского учреждения, органа здравоохранения.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Как объект научного исследования и практической деятельности учрежд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 здравоохранения заболеваемость представляет собой сложную систему вза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мосвязанных понятий: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- собственно заболеваемость (первичная заболеваемость) – частота новых, нигде ранее не учтенных и впервые в данном календарном году выявленных ср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ди населения заболеваний;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- распространенность (болезненность, накопленная заболеваемость) – ч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стота всех имеющихся среди населения заболеваний, как впервые выя</w:t>
      </w:r>
      <w:r w:rsidRPr="00F44E35">
        <w:rPr>
          <w:rFonts w:ascii="Times New Roman" w:hAnsi="Times New Roman"/>
          <w:sz w:val="28"/>
          <w:szCs w:val="28"/>
        </w:rPr>
        <w:t>в</w:t>
      </w:r>
      <w:r w:rsidRPr="00F44E35">
        <w:rPr>
          <w:rFonts w:ascii="Times New Roman" w:hAnsi="Times New Roman"/>
          <w:sz w:val="28"/>
          <w:szCs w:val="28"/>
        </w:rPr>
        <w:t>ленных в данном календарном году, так и зарегистрированных в предыдущие годы, по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воду которых больной вновь обратился за медицинской помощью в данном году;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lastRenderedPageBreak/>
        <w:t>- частота заболеваний, выявленных при осмотрах (патологическая пораже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ность) – частота патологии среди населения, устанавливаемая при проведении единовременных медицинских осмотров (обследований), в результ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те которых учитываются все заболевания, а также преморбидные формы и состояния.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Основные источники информации о заболеваемости:</w:t>
      </w:r>
    </w:p>
    <w:p w:rsidR="00206A5F" w:rsidRPr="00F44E35" w:rsidRDefault="00206A5F" w:rsidP="00083A3A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данным обращаемости в ЛПУ;</w:t>
      </w:r>
    </w:p>
    <w:p w:rsidR="00206A5F" w:rsidRPr="00F44E35" w:rsidRDefault="00206A5F" w:rsidP="00083A3A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данным результатов медицинских осмотров;</w:t>
      </w:r>
    </w:p>
    <w:p w:rsidR="00206A5F" w:rsidRPr="00F44E35" w:rsidRDefault="00206A5F" w:rsidP="00083A3A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данным анализа причин смерти.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Дополнительный официальный источник - по данным изучения причин и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валидности.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статистике заболеваемости, выявленной по данным обращаемости прин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то выделять: общую заболеваемость, инфекционную заболеваемость, заболева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мость важнейшими неэпидемическими болезнями, госпитализированную забол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ваемость, заболеваемость с временной утратой трудоспосо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ности. ВОЗ указывает, что какой бы показатель заболеваемости ни рассчитывался, он должен соотве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ствовать ряду требований: быть надежным, объективным, чувствительным, то</w:t>
      </w:r>
      <w:r w:rsidRPr="00F44E35">
        <w:rPr>
          <w:rFonts w:ascii="Times New Roman" w:hAnsi="Times New Roman"/>
          <w:sz w:val="28"/>
          <w:szCs w:val="28"/>
        </w:rPr>
        <w:t>ч</w:t>
      </w:r>
      <w:r w:rsidRPr="00F44E35">
        <w:rPr>
          <w:rFonts w:ascii="Times New Roman" w:hAnsi="Times New Roman"/>
          <w:sz w:val="28"/>
          <w:szCs w:val="28"/>
        </w:rPr>
        <w:t>ным [7].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Значение знаний о заболеваемости трудно переоценить:</w:t>
      </w:r>
    </w:p>
    <w:p w:rsidR="00206A5F" w:rsidRPr="00F44E35" w:rsidRDefault="00206A5F" w:rsidP="00083A3A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заболеваемости судят о здоровье населения, которое в большой мере зависит от деятельности работников и учреждений здравоохран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ния;</w:t>
      </w:r>
    </w:p>
    <w:p w:rsidR="00206A5F" w:rsidRPr="00F44E35" w:rsidRDefault="00206A5F" w:rsidP="00083A3A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знание заболеваемости нужно для планирования медицинской пом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щи, правильной расстановки кадров, составления плана профилактических мер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приятий (диспансеризации, санитарно-просветительной работы).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данные о заболеваемости – это инструмент для оперативн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го руководства, для управления здравоохранением. Более того, показатели заб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леваемости отражают реальную картину жизни населения и позв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ляют выявлять проблемные ситуации для разработки конкретных мер по охране здоровья  нас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ления и его улучшения в общегосударственном масштабе [8].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1.3. Здоровье и образ жизни студентов</w:t>
      </w:r>
    </w:p>
    <w:p w:rsidR="00F44E35" w:rsidRPr="00C41B37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настоящее время Россия продолжает испытывать экономические трудн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сти порождающие безработицу и бедность среди населения; низок уровень зар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ботной платы у многих работников государственного сектора, в том числе и в с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циальной сфере. Отсутствие четких национальные идей с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циально-экономического развития государства, низкий уровень жизни, 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обеспеченность и неуверенность в будущем порождают стрессы и психоэмоциональное неблагоп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лучие, мотивируют нездоровое поведение, насилие и жестокость в семьях, пров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цируют невротические и психические расстройства и усугубляют течение сом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тических заболеваний. Экологическое неблагополучие также отрицательно ск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зывается на здоровье населения [11].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Социально-экономический кризис в стране не мог не коснуться наименее социально защищенного слоя населения – студенческой молодежи. Произоше</w:t>
      </w:r>
      <w:r w:rsidRPr="00F44E35">
        <w:rPr>
          <w:rFonts w:ascii="Times New Roman" w:hAnsi="Times New Roman"/>
          <w:sz w:val="28"/>
          <w:szCs w:val="28"/>
        </w:rPr>
        <w:t>д</w:t>
      </w:r>
      <w:r w:rsidRPr="00F44E35">
        <w:rPr>
          <w:rFonts w:ascii="Times New Roman" w:hAnsi="Times New Roman"/>
          <w:sz w:val="28"/>
          <w:szCs w:val="28"/>
        </w:rPr>
        <w:lastRenderedPageBreak/>
        <w:t>шие перемены отрицательно сказались на показателях физического и психическ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го здоровья студентов, которое является индикатором происх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дящих изменений.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Сложилась тяжелая ситуация, характеризующаяся тем, что в целом мол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дежь России, которая по логике должна быть наиболее здоровой частью общ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ства, таковой не является. Положение усугубляется тем, что в насто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щее время снижено внимание общества к здоровью молодежи, так как сокращено число профилактических осмотров, не действует система диспа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серного наблюдения, снижен научно-исследовательский интерес к пробл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мам молодого поколения [5].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Исследованиями ряда авторов [2,3,5] по данным о заболеваемости по обр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щаемости показано что, наиболее высокие среднегодовые темпы прироста отм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чаются по болезням нервной (34,8%) и мочеполовой (30,4%) си</w:t>
      </w:r>
      <w:r w:rsidRPr="00F44E35">
        <w:rPr>
          <w:rFonts w:ascii="Times New Roman" w:hAnsi="Times New Roman"/>
          <w:sz w:val="28"/>
          <w:szCs w:val="28"/>
        </w:rPr>
        <w:t>с</w:t>
      </w:r>
      <w:r w:rsidRPr="00F44E35">
        <w:rPr>
          <w:rFonts w:ascii="Times New Roman" w:hAnsi="Times New Roman"/>
          <w:sz w:val="28"/>
          <w:szCs w:val="28"/>
        </w:rPr>
        <w:t>тем. Следующие ранговые места по среднегодовым темпам прироста занимают заболевания орг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нов пищеварения (17,8%), костно-мышечной системы и соединительной ткани (8,5%),системы кровообращения (8,3%).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Характерной особенностью является высокая склонность к хронизации п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тологического процесса. Наряду с этим авторы отмечают относительно 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высокие среднегодовые темпы прироста показателя по классу болезней орг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нов дыхания. Существенный рост заболеваемости по обращаемости болезнями органов пищ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варения, мочеполовой и нервной систем также отмечается при ее изучении в 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 xml:space="preserve">намике обучения с </w:t>
      </w:r>
      <w:r w:rsidRPr="00F44E35">
        <w:rPr>
          <w:rFonts w:ascii="Times New Roman" w:hAnsi="Times New Roman"/>
          <w:sz w:val="28"/>
          <w:szCs w:val="28"/>
          <w:lang w:val="en-US"/>
        </w:rPr>
        <w:t>I</w:t>
      </w:r>
      <w:r w:rsidRPr="00F44E35">
        <w:rPr>
          <w:rFonts w:ascii="Times New Roman" w:hAnsi="Times New Roman"/>
          <w:sz w:val="28"/>
          <w:szCs w:val="28"/>
        </w:rPr>
        <w:t xml:space="preserve"> по </w:t>
      </w:r>
      <w:r w:rsidRPr="00F44E35">
        <w:rPr>
          <w:rFonts w:ascii="Times New Roman" w:hAnsi="Times New Roman"/>
          <w:sz w:val="28"/>
          <w:szCs w:val="28"/>
          <w:lang w:val="en-US"/>
        </w:rPr>
        <w:t>IV</w:t>
      </w:r>
      <w:r w:rsidRPr="00F44E35">
        <w:rPr>
          <w:rFonts w:ascii="Times New Roman" w:hAnsi="Times New Roman"/>
          <w:sz w:val="28"/>
          <w:szCs w:val="28"/>
        </w:rPr>
        <w:t xml:space="preserve"> курс.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изучении данных углубленных медицинских осмотров выявлены наиболее высокие среднегодовые темпы прироста болезней органов дыхания (42,3%) и мочеполовой системы (3,5%). Существенный вклад в формирование высокого уровня хронической заболеваемости и морфофункциональных отклон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ний вносят болезни костно-мышечной и соединительной ткани, системы кровоо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ращения и нервной системы, среднегодовые темпы прироста по которым состав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ли 18-24,8%[2].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Анализ структуры заболеваемости также выявляет широкий спектр забол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ваний и тенденцию к увеличению числа студентов с хроническими заболевани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ми. Наиболее часто студенты обращаются с острыми респираторно-вирусными инфекциями (ОРВИ), 2-е место по обращаемости занимают ангина и острый бронхит, меньшее количество студентов идет с заболеваниями мочеполовой с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стемы. Причем, как показывают результаты исследований, наблюдается тенде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 xml:space="preserve">ция к росту </w:t>
      </w:r>
      <w:r w:rsidR="00F44E35" w:rsidRPr="00F44E35">
        <w:rPr>
          <w:rFonts w:ascii="Times New Roman" w:hAnsi="Times New Roman"/>
          <w:sz w:val="28"/>
          <w:szCs w:val="28"/>
        </w:rPr>
        <w:t>заболеваемости,</w:t>
      </w:r>
      <w:r w:rsidRPr="00F44E35">
        <w:rPr>
          <w:rFonts w:ascii="Times New Roman" w:hAnsi="Times New Roman"/>
          <w:sz w:val="28"/>
          <w:szCs w:val="28"/>
        </w:rPr>
        <w:t xml:space="preserve"> как в целом, так и по о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дельным видам заболеваний [5].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Анализ структуры посещений врача выявил наибольшее их число у студе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 xml:space="preserve">тов </w:t>
      </w:r>
      <w:r w:rsidRPr="00F44E35">
        <w:rPr>
          <w:rFonts w:ascii="Times New Roman" w:hAnsi="Times New Roman"/>
          <w:sz w:val="28"/>
          <w:szCs w:val="28"/>
          <w:lang w:val="en-US"/>
        </w:rPr>
        <w:t>I</w:t>
      </w:r>
      <w:r w:rsidRPr="00F44E35">
        <w:rPr>
          <w:rFonts w:ascii="Times New Roman" w:hAnsi="Times New Roman"/>
          <w:sz w:val="28"/>
          <w:szCs w:val="28"/>
        </w:rPr>
        <w:t xml:space="preserve"> и </w:t>
      </w:r>
      <w:r w:rsidRPr="00F44E35">
        <w:rPr>
          <w:rFonts w:ascii="Times New Roman" w:hAnsi="Times New Roman"/>
          <w:sz w:val="28"/>
          <w:szCs w:val="28"/>
          <w:lang w:val="en-US"/>
        </w:rPr>
        <w:t>II</w:t>
      </w:r>
      <w:r w:rsidRPr="00F44E35">
        <w:rPr>
          <w:rFonts w:ascii="Times New Roman" w:hAnsi="Times New Roman"/>
          <w:sz w:val="28"/>
          <w:szCs w:val="28"/>
        </w:rPr>
        <w:t xml:space="preserve"> курсов в основном в связи с болезнями органов дыхания, нервной сист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мы и органов чувств (преимущественно синдром вегетативных дисфункций). У старшекурсников рост числа посещений обусловлен болезнями органов пищев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рения, костно-мышечной системы и травмами, что, в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роятнее всего, объясняется нарушениями питания, перенапряжением и ср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вом адаптационных систем  из-за более продолжительного обучения в ВУЗе.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анализе заболеваемости с временной утратой трудоспособности (ВУТ), частота выдачи справок составила 25-35%. Отмечается сезонная н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 xml:space="preserve">правленность </w:t>
      </w:r>
      <w:r w:rsidRPr="00F44E35">
        <w:rPr>
          <w:rFonts w:ascii="Times New Roman" w:hAnsi="Times New Roman"/>
          <w:sz w:val="28"/>
          <w:szCs w:val="28"/>
        </w:rPr>
        <w:lastRenderedPageBreak/>
        <w:t>заболеваемости с наибольшими показателями в сентябре, ма</w:t>
      </w:r>
      <w:r w:rsidRPr="00F44E35">
        <w:rPr>
          <w:rFonts w:ascii="Times New Roman" w:hAnsi="Times New Roman"/>
          <w:sz w:val="28"/>
          <w:szCs w:val="28"/>
        </w:rPr>
        <w:t>р</w:t>
      </w:r>
      <w:r w:rsidRPr="00F44E35">
        <w:rPr>
          <w:rFonts w:ascii="Times New Roman" w:hAnsi="Times New Roman"/>
          <w:sz w:val="28"/>
          <w:szCs w:val="28"/>
        </w:rPr>
        <w:t>те и апреле. Уровень заболеваемости с ВУТ в среднем составил 32,8 случая временной нетрудоспосо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 xml:space="preserve">ности (на 100 студентов). Около 60% составили студенты </w:t>
      </w:r>
      <w:r w:rsidRPr="00F44E35">
        <w:rPr>
          <w:rFonts w:ascii="Times New Roman" w:hAnsi="Times New Roman"/>
          <w:sz w:val="28"/>
          <w:szCs w:val="28"/>
          <w:lang w:val="en-US"/>
        </w:rPr>
        <w:t>I</w:t>
      </w:r>
      <w:r w:rsidRPr="00F44E35">
        <w:rPr>
          <w:rFonts w:ascii="Times New Roman" w:hAnsi="Times New Roman"/>
          <w:sz w:val="28"/>
          <w:szCs w:val="28"/>
        </w:rPr>
        <w:t xml:space="preserve"> и </w:t>
      </w:r>
      <w:r w:rsidRPr="00F44E35">
        <w:rPr>
          <w:rFonts w:ascii="Times New Roman" w:hAnsi="Times New Roman"/>
          <w:sz w:val="28"/>
          <w:szCs w:val="28"/>
          <w:lang w:val="en-US"/>
        </w:rPr>
        <w:t>II</w:t>
      </w:r>
      <w:r w:rsidRPr="00F44E35">
        <w:rPr>
          <w:rFonts w:ascii="Times New Roman" w:hAnsi="Times New Roman"/>
          <w:sz w:val="28"/>
          <w:szCs w:val="28"/>
        </w:rPr>
        <w:t xml:space="preserve"> курсов. В структ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ре заболеваемости преобладают простудные болезни (73,1%); последующие ра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говые места занимают болезни органов пищеварения и зубов, сердечно-сосудистая патология, заболевания почек и мочевыводящих путей [3].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Прямым показателем здоровья, как известно, является физическое ра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витие, в результате изучения которого выявлено, что гармоничным оно явл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ется лишь у 54,6% студентов, дисгармоничным – у 31, 4% и резко дисгарм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ничным – у 14% студентов. Средняя масса тела студентов составила 62,2 кг, длина тела – 173 см, окружность грудной клетки – 76, 1 см. У студентов среднего, ниже среднего и низкого роста есть большая вероятность избытка массы тела, тогда как у высоких студентов существует риск развития деф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 xml:space="preserve">цита массы тела.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почти половина обследованных студентов по показателям физического развития и заболеваемости нуждаются в переводе в подготовител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ную или в специальную физкультурную группу, либо полностью должны осв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бождаться от занятий по физкультуре [5].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Общеизвестно, что здоровье на 50-55% зависит от образа жизни человека, значит можно считать, что генеральной линией формирования и укрепления зд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ровья является здоровый образ жизни [12]. Образ жизни студенч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ской молодежи никак нельзя назвать здоровым. Как показывают проведенные исследов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ния[2,3,5,] образ жизни студентов характеризуется высокой распространенностью негативных стереотипов поведения и низкой физич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ской активностью.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Особенностью гендерных тенденций являются большой удельный вес д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вушек с неудовлетворительным уровнем двигательной активности (46,9 – 63,6%), наличие вредных привычек (41,4 – 45,1%) по сравнению с юношами. Образ жизни юношей характеризуется: наличием психоэмоционального стресса (87,5-87,8%), недостаточным пребыванием на свежем воздухе (88,9-90,6%), недостаточной продолжительностью сна (37,5-44,4%), неудовлетворительной медицинской а</w:t>
      </w:r>
      <w:r w:rsidRPr="00F44E35">
        <w:rPr>
          <w:rFonts w:ascii="Times New Roman" w:hAnsi="Times New Roman"/>
          <w:sz w:val="28"/>
          <w:szCs w:val="28"/>
        </w:rPr>
        <w:t>к</w:t>
      </w:r>
      <w:r w:rsidRPr="00F44E35">
        <w:rPr>
          <w:rFonts w:ascii="Times New Roman" w:hAnsi="Times New Roman"/>
          <w:sz w:val="28"/>
          <w:szCs w:val="28"/>
        </w:rPr>
        <w:t>тивностью (19,8-26,3%). К специфическим ос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бенностям образа жизни студенток в этом плане можно отнести чтение по ночам (51,3%), принятие пищи перед сном (48,6%), недостаточный уровень двигательной активности (71,7%), наличие пр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блем в личной жизни (48,9%), употребление алкоголя по праздникам (81,2%), к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рение (7,7%).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этом следует отметить, что, несмотря на довольно высокую распр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страненность вредных привычек среди студентов, только половина из них пыт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ются бороться с ними.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целом повседневное поведение и жизненный уклад студенческой мол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дежи как особой социальной когорты населения, объединенной специф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ческими условиями учебной деятельности, возрастными закономерностями функционир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вания организма, обуславливают специфику образа жизни. В общем виде ему присущи неудовлетворительный уровень двигательной активности, наличие вредных привычек, недостаточная продолжительность сна и пребывания на св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жем воздухе, нерациональное питание, постоянный и периодический психоэм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lastRenderedPageBreak/>
        <w:t>циональный стресс. Кроме того, довольно значителен удельный вес студентов с неудовлетворительной медицинской активностью.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Показано, что студенты недостаточно используют эффективные компоне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ты по обеспечению здорового образа жизни. Так, регулярную профилактику утомления и ежедневное восстановление после работы проводят только 25,15% студентов, рациональный суточный режим соблюдают только 22,15% студентов, закаливающие процедуры используют 25,98%, а ант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стрессовые мероприятия – 18% [2].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Проанализировав полученные данные, можно сказать, что ценностные ор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ентации, связанные со здоровьем и ведением здорового образа жизни,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ка еще не заняли подобающего места в системе ценностей студента. Это вызывает озаб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ченность, так как отсутствие соответствующей ориентации в поведении усугубл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ет разрыв, образующийся между реальным статусом и 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разом жизни молодого человека, с одной стороны, и требованиями жизни – с другой. Для ликвидации 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кого расхождения необходимо проводить ко</w:t>
      </w:r>
      <w:r w:rsidRPr="00F44E35">
        <w:rPr>
          <w:rFonts w:ascii="Times New Roman" w:hAnsi="Times New Roman"/>
          <w:sz w:val="28"/>
          <w:szCs w:val="28"/>
        </w:rPr>
        <w:t>м</w:t>
      </w:r>
      <w:r w:rsidRPr="00F44E35">
        <w:rPr>
          <w:rFonts w:ascii="Times New Roman" w:hAnsi="Times New Roman"/>
          <w:sz w:val="28"/>
          <w:szCs w:val="28"/>
        </w:rPr>
        <w:t>плексную работу по формированию здорового образа жизни в семье с привлечением различных общественных инст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тутов [14].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1.4. Основные принципы распределения учащихся на медицинские группы по состоянию здоровья</w:t>
      </w:r>
    </w:p>
    <w:p w:rsidR="00F44E35" w:rsidRPr="00C41B37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Состояние здоровья человека, его сопротивляемость заболеваниям св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заны с резервными возможностями организма, уровнем его защитных сил, определя</w:t>
      </w:r>
      <w:r w:rsidRPr="00F44E35">
        <w:rPr>
          <w:rFonts w:ascii="Times New Roman" w:hAnsi="Times New Roman"/>
          <w:sz w:val="28"/>
          <w:szCs w:val="28"/>
        </w:rPr>
        <w:t>ю</w:t>
      </w:r>
      <w:r w:rsidRPr="00F44E35">
        <w:rPr>
          <w:rFonts w:ascii="Times New Roman" w:hAnsi="Times New Roman"/>
          <w:sz w:val="28"/>
          <w:szCs w:val="28"/>
        </w:rPr>
        <w:t>щих устойчивость по отношению к неблагоприятным внешним влияниям. Выс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кая заболеваемость среди молодежи является выражением физической детрен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рованности, которая развивается вследствие ограниченной двигательной активн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сти. Растущий организм особенно нуждается в мышечной деятельности, поэтому недостаточная двигательная активность, некомпенсированная необходимыми по объему и интенсивности физическ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ми нагрузками, приводит к развитию целого ряда заболеваний [15].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свете данных проблем чрезвычайно велико значение физического восп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тания в формировании здоровья подрастающего поколения.  Пониженная двиг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тельная активность, вызванная современными условиями жизни, особенно небл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гоприятно отражается на растущем организме. Доказано, что гипокинезия может быть предпосылкой различных нежелательных отклонений в развитии и состо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нии здоровья [Могендович М.Р.,1957; Аршавский И.А., 1967, и др.].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Основной формой физического воспитания студентов продолжают ост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ваться уроки физкультуры. В начале каждого учебного года по результатам мед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цинского осмотра происходит распределение студентов на медицинские группы для занятий физкультурой. Во время проведения ежегодных проф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лактических медосмотров также выявляется наличие скрытой и явной патологии разных орг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нов и систем при клинических и лабораторных исследованиях, при массовом флюорографическом исследовании, осмотрах врачом здравпункта, а при необх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димости и «узкими» специалистами поликлиник города или в стационаре.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lastRenderedPageBreak/>
        <w:t>Всех учащихся на основании данных о состоянии здоровья и физическом развитии распределяют на три группы: основную, подготовительную и специал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ную (табл. 2). Распределение учащихся на указанные медицинские группы прои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водится врачом на основании « Положения о врачебном контроле за лицами, 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нимающимися физической культурой и спортом», утвержденного приказом м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нистра здравоохранения СССР № 986 от 4 ноября 1977 г.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Таблица 2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8"/>
        </w:rPr>
        <w:t>Распределение учащихся на группы для участия в учебных</w:t>
      </w:r>
      <w:r w:rsidR="00F44E35" w:rsidRPr="00F44E35">
        <w:rPr>
          <w:rFonts w:ascii="Times New Roman" w:hAnsi="Times New Roman"/>
          <w:sz w:val="28"/>
          <w:szCs w:val="28"/>
        </w:rPr>
        <w:t xml:space="preserve"> </w:t>
      </w:r>
      <w:r w:rsidRPr="00F44E35">
        <w:rPr>
          <w:rFonts w:ascii="Times New Roman" w:hAnsi="Times New Roman"/>
          <w:sz w:val="28"/>
          <w:szCs w:val="28"/>
        </w:rPr>
        <w:t>и внеучебных занятий физической культурой и спортом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E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5"/>
        <w:gridCol w:w="3248"/>
        <w:gridCol w:w="4501"/>
      </w:tblGrid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 xml:space="preserve">  Допускаемые мероприятия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Медицинская характеристика групп</w:t>
            </w:r>
          </w:p>
        </w:tc>
      </w:tr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Основная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Занятия по программам в полном объеме</w:t>
            </w:r>
          </w:p>
          <w:p w:rsidR="00206A5F" w:rsidRPr="00F44E35" w:rsidRDefault="00206A5F" w:rsidP="00083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Сдача норм ГТО</w:t>
            </w:r>
          </w:p>
          <w:p w:rsidR="00206A5F" w:rsidRPr="00F44E35" w:rsidRDefault="00206A5F" w:rsidP="00083A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Занятия в  спортивных секциях и участие в соревнован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Учащиеся без отклонений в физическом разв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тии, состоянии здоровья, а также с незначител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ь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ными отклонениями в состоянии здоровья пр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имущественно функционального характера, но с достаточной физической подготовкой</w:t>
            </w:r>
          </w:p>
        </w:tc>
      </w:tr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Занятия по программам при условии исключения некот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рых видов физических упражн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ний</w:t>
            </w:r>
          </w:p>
          <w:p w:rsidR="00206A5F" w:rsidRPr="00F44E35" w:rsidRDefault="00206A5F" w:rsidP="00083A3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Сдача контрольных исп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ы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таний и норм ГТО  - с особого ра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з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решения врача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Учащиеся, имеющие незначительные отклон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ния в физическом развитии и состоянии здор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вья, без существенных функциональных изм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нений, но без достаточной физической подг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 xml:space="preserve">товки </w:t>
            </w:r>
          </w:p>
        </w:tc>
      </w:tr>
      <w:tr w:rsidR="00206A5F" w:rsidRPr="00F44E35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77"/>
            </w:tblGrid>
            <w:tr w:rsidR="00206A5F" w:rsidRPr="00F44E35">
              <w:trPr>
                <w:trHeight w:val="120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6A5F" w:rsidRPr="00F44E35" w:rsidRDefault="00206A5F" w:rsidP="00083A3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44E3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Специальная</w:t>
                  </w:r>
                </w:p>
              </w:tc>
            </w:tr>
          </w:tbl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Занятия по особой пр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грамме или по отдельным видам программ со сниженными норм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а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 xml:space="preserve">тивами </w:t>
            </w:r>
          </w:p>
          <w:p w:rsidR="00206A5F" w:rsidRPr="00F44E35" w:rsidRDefault="00206A5F" w:rsidP="00083A3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Занятия индивидуальной гимнастикой типа лечебной фи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з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Учащиеся, имеющие значительные отклонения в состоянии здоровья постоянного или време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ного характера, не мешающие выполнению обычной учебной работы, но являющиеся противопоказ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а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нием для занятий физкультурой. Некоторые из них временно, впредь до улу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ч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шения состояния здоровья, совсем освобожд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а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ются от участия в учебных занятиях по фи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з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культуре</w:t>
            </w:r>
          </w:p>
        </w:tc>
      </w:tr>
    </w:tbl>
    <w:p w:rsidR="00206A5F" w:rsidRPr="00F44E35" w:rsidRDefault="00206A5F" w:rsidP="00083A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Как видно из принципов, на основании которых производится распредел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ние учащихся на медицинские группы, резких, четко очерченных границ между группами не существует. Это заставляет врача решать вопрос об отнесении уч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щегося в ту или иную группу сугубо индивидуально, выясняя не только степень функциональных нарушений организма, но и уровень физической подготовленн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сти. По существу, при распределении учащихся на м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дицинские группы в каждом отдельном случае решают вопрос о том, какому объему физических нагрузок и нормативным требованиям, установленным для каждой из групп, соответствуют функциональные возможности органи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 xml:space="preserve">ма молодого человека[15]. 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Анализ распределения учащихся на медицинские группы по физкультуре может многое сказать о здоровье студентов и их подготовленности к учебным нагрузкам, так как физическое здоровье является прямой предп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сылкой усп</w:t>
      </w:r>
      <w:r w:rsidR="00F44E35">
        <w:rPr>
          <w:rFonts w:ascii="Times New Roman" w:hAnsi="Times New Roman"/>
          <w:sz w:val="28"/>
          <w:szCs w:val="28"/>
        </w:rPr>
        <w:t>ешной умственной деятельности.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1.5. Заболеваемость студентов, обучающихся в медицинских учрежд</w:t>
      </w:r>
      <w:r w:rsidRPr="00F44E35">
        <w:rPr>
          <w:rFonts w:ascii="Times New Roman" w:hAnsi="Times New Roman"/>
          <w:b/>
          <w:sz w:val="28"/>
          <w:szCs w:val="28"/>
        </w:rPr>
        <w:t>е</w:t>
      </w:r>
      <w:r w:rsidRPr="00F44E35">
        <w:rPr>
          <w:rFonts w:ascii="Times New Roman" w:hAnsi="Times New Roman"/>
          <w:b/>
          <w:sz w:val="28"/>
          <w:szCs w:val="28"/>
        </w:rPr>
        <w:t>ниях</w:t>
      </w:r>
    </w:p>
    <w:p w:rsidR="00F44E35" w:rsidRPr="00C41B37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 xml:space="preserve">Труд медицинских работников, характеризующийся высоким уровнем нервно-эмоционального напряжения, требует постоянного внимания, высокой </w:t>
      </w:r>
      <w:r w:rsidRPr="00F44E35">
        <w:rPr>
          <w:rFonts w:ascii="Times New Roman" w:hAnsi="Times New Roman"/>
          <w:sz w:val="28"/>
          <w:szCs w:val="28"/>
        </w:rPr>
        <w:lastRenderedPageBreak/>
        <w:t>выносливости, причем часто в экстремальных условиях. В то же время студенты медицинских ВУЗов являются одними из наименее обследованных в социально-гигиеническом отношении групп учащейся молодежи. После</w:t>
      </w:r>
      <w:r w:rsidRPr="00F44E35">
        <w:rPr>
          <w:rFonts w:ascii="Times New Roman" w:hAnsi="Times New Roman"/>
          <w:sz w:val="28"/>
          <w:szCs w:val="28"/>
        </w:rPr>
        <w:t>д</w:t>
      </w:r>
      <w:r w:rsidRPr="00F44E35">
        <w:rPr>
          <w:rFonts w:ascii="Times New Roman" w:hAnsi="Times New Roman"/>
          <w:sz w:val="28"/>
          <w:szCs w:val="28"/>
        </w:rPr>
        <w:t>ние же относятся к группе значительного риска развития заболеваний, что обусловлено большими интеллектуальными нагрузками, резкими измен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ниями привычного образа жизни в связи с началом учебы, необходимостью адаптации к новым условиям труда, проживания и питания[12].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имеющимся данным [2,12], в среднем у каждого будущего студента п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ред поступлением в ВУЗ было 1,6 заболеваний, зарегистрированных в де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ские и школьные годы. Некоторые из этих болезней в известной степени беспокоили студентов до настоящего времени. В структуре указанной патологии ведущую роль играют болезни органов дыхания, на  которые приходится половина от 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щего числа зарегистрированных при профилактических осмо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рах заболеваний. Второе ранговое место занимают инфекционные болезни, которыми в школьном возрасте переболел каждый восьмой студент. Далее идут болезни органов пищ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варения, глаз и придаточного аппарата, а также травмы. Что касается заболева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мости студентов в периоде  обучения, то ее уровень является сравнительно ни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ким. Так заболеваемость по обращаемости студентов на 1-3 курсах в среднем 295,0 случаев на1000 человек соответствующего контингента. В ее структуре о</w:t>
      </w:r>
      <w:r w:rsidRPr="00F44E35">
        <w:rPr>
          <w:rFonts w:ascii="Times New Roman" w:hAnsi="Times New Roman"/>
          <w:sz w:val="28"/>
          <w:szCs w:val="28"/>
        </w:rPr>
        <w:t>с</w:t>
      </w:r>
      <w:r w:rsidRPr="00F44E35">
        <w:rPr>
          <w:rFonts w:ascii="Times New Roman" w:hAnsi="Times New Roman"/>
          <w:sz w:val="28"/>
          <w:szCs w:val="28"/>
        </w:rPr>
        <w:t>новное место отведено также болезням органов дыхания. На этом фоне отмечае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ся постепенное увеличение частоты заболеваний органов пищеварения, мочеп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ловой системы, болезней крови и эндокринной системы.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Результаты комплексных медицинских осмотров, проведенных бригадой специалистов в составе терапевта, хирурга, окулиста, оториноларинголога и невропатолога, позволяют сделать следующее заключение:</w:t>
      </w:r>
    </w:p>
    <w:p w:rsidR="00206A5F" w:rsidRPr="00F44E35" w:rsidRDefault="00206A5F" w:rsidP="00083A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на каждого студента из обследованного контингента приходится 0,19 заболеваний или отклонений в состоянии здоровья;</w:t>
      </w:r>
    </w:p>
    <w:p w:rsidR="00206A5F" w:rsidRPr="00F44E35" w:rsidRDefault="00206A5F" w:rsidP="00083A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структуре заболеваемости доминируют болезни костно-мышечной системы, глаз и их придаточного аппарата;</w:t>
      </w:r>
    </w:p>
    <w:p w:rsidR="00206A5F" w:rsidRPr="00F44E35" w:rsidRDefault="00206A5F" w:rsidP="00083A3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отмечается высокая доля болезней системы кровообращения, о</w:t>
      </w:r>
      <w:r w:rsidRPr="00F44E35">
        <w:rPr>
          <w:rFonts w:ascii="Times New Roman" w:hAnsi="Times New Roman"/>
          <w:sz w:val="28"/>
          <w:szCs w:val="28"/>
        </w:rPr>
        <w:t>р</w:t>
      </w:r>
      <w:r w:rsidRPr="00F44E35">
        <w:rPr>
          <w:rFonts w:ascii="Times New Roman" w:hAnsi="Times New Roman"/>
          <w:sz w:val="28"/>
          <w:szCs w:val="28"/>
        </w:rPr>
        <w:t>ганов дыхания и пищеварения.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Особое место в исследовании заболеваемости авторы отдают взаимосвязи между занятиями спортом, состоянием здоровья и успеваемостью студентов.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лученные ими данные свидетельствуют о том, что большинство из них (две трети) достаточно здоровы для того, чтобы посещать основные группы занятий физкул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турой. Тем не менее каждый третий студент является носителем хронического 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болевания, позволяющего ему посещать только группу ЛФК. Согласно получе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ным данным, 64,7% обследованных студе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тов вообще не занимаются спортом.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Выявлено наличие обратной корреляции между здоровьем и успеваем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 xml:space="preserve">стью: доля здоровых студентов, не перенесших заболевания, возрастает по мере понижения успеваемости. Среди успевающих на «хорошо» и «отлично» здоровы 2 студента из 3, на «удовлетворительно» - 3 из 4.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структуре заболеваемости успевающих на «отлично» и «хорошо» первые места занимают нозологии обусловленные высокой учебной нагру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 xml:space="preserve">кой: сколиоз и </w:t>
      </w:r>
      <w:r w:rsidRPr="00F44E35">
        <w:rPr>
          <w:rFonts w:ascii="Times New Roman" w:hAnsi="Times New Roman"/>
          <w:sz w:val="28"/>
          <w:szCs w:val="28"/>
        </w:rPr>
        <w:lastRenderedPageBreak/>
        <w:t>миопия. Для успевающих на «удовлетворительно» характерна низкая частота их общей заболеваемости – в 2 раза ниже, чем у «отличн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ков», и более чем в 5 раз ниже, чем у «ударников».На первых местах нах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дятся болезни органов дыхания и органов пищеварения. Для них характерна крайне низкая доля болезней глаз и их придаточного аппарата и болезней к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стно-мышечной системы.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Результаты изучения физического развития показали, что гармоничным оно является лишь у 44,6% студентов, дисгармоничным – у 31,4% и резко дисгарм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ничным – у 24%. Средние, ниже среднего и низкого роста студенты имеют бол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шую вероятность избытка массы тела, тогда как на высоких и выше среднего 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ста студентов следует обратить повышенное внимание в плане решения проблем дефицита массы тела. Таким образом, большинство студентов нуждаются в рег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лярном проведении лечебно-реабилитационных и профилактических меропри</w:t>
      </w:r>
      <w:r w:rsidRPr="00F44E35">
        <w:rPr>
          <w:rFonts w:ascii="Times New Roman" w:hAnsi="Times New Roman"/>
          <w:sz w:val="28"/>
          <w:szCs w:val="28"/>
        </w:rPr>
        <w:t>я</w:t>
      </w:r>
      <w:r w:rsidRPr="00F44E35">
        <w:rPr>
          <w:rFonts w:ascii="Times New Roman" w:hAnsi="Times New Roman"/>
          <w:sz w:val="28"/>
          <w:szCs w:val="28"/>
        </w:rPr>
        <w:t>тий.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Исследование особенностей образа жизни показало, что курят 28,4% опр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шенных студентов, а злоупотребляет спиртными напитками – 36%. Тр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вожность этой информации повышается при сравнении с другими компоне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тами здорового образа жизни: занимаются физическими упражнениями, д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лают зарядку только 20,5% опрошенных, посещают спортивные секции – 6,8%, занимаются бегом с трусцой – 2,5%, стараются соблюдать режим дня – 17,8%, следят за своим пит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нием  - 14,5%, регулярно консультируются с вр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чом – 8,3% и, наконец, во время каникул выезжают в дома отдыха и санат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рии – 5,9%.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Согласно результатам исследований, причина наличия вредных прив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чек у студентов – стрессы, вызванные перегруженностью учебных программ, неустр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енностью быта и досуга, отсутствием нормальных механизмов релаксации, крайне необходимых при такой интенсивной работе, как усвоение современных учебных программ. Но подавляющее большинство студентов предпочитают па</w:t>
      </w:r>
      <w:r w:rsidRPr="00F44E35">
        <w:rPr>
          <w:rFonts w:ascii="Times New Roman" w:hAnsi="Times New Roman"/>
          <w:sz w:val="28"/>
          <w:szCs w:val="28"/>
        </w:rPr>
        <w:t>с</w:t>
      </w:r>
      <w:r w:rsidRPr="00F44E35">
        <w:rPr>
          <w:rFonts w:ascii="Times New Roman" w:hAnsi="Times New Roman"/>
          <w:sz w:val="28"/>
          <w:szCs w:val="28"/>
        </w:rPr>
        <w:t>сивные формы досуга. Активные формы отдыха – занятия спортом, работа в саду, работа на приусадебном участке – привлекают в совокупности только 5,3% ст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дентов. Используемые студентами механизмы релаксации, формы досуга крайне недостаточны для компенсации затрат нервной, психической энергии, необход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мых для успешной учебы.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При этом медицинская активность студентов находится на низком уровне. Несмотря на то, что ценности здоровья у подавляющего большинства студентов относятся к числу основных, во многом это носит формальный характер, не отр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 xml:space="preserve">жаясь на реальном гигиеническом поведении. 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критические явления в состоянии здоровья, нездоровый о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раз жизни и распространенность вредных привычек диктуют необходимость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иска новых путей формирования здоровья студенческой молод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жи.</w:t>
      </w:r>
    </w:p>
    <w:p w:rsidR="00206A5F" w:rsidRPr="00F44E35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A5F" w:rsidRPr="00F44E35"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 w:rsidR="00206A5F" w:rsidRPr="00F44E35">
        <w:rPr>
          <w:rFonts w:ascii="Times New Roman" w:hAnsi="Times New Roman"/>
          <w:b/>
          <w:sz w:val="28"/>
          <w:szCs w:val="28"/>
          <w:lang w:val="en-US"/>
        </w:rPr>
        <w:t>II</w:t>
      </w:r>
      <w:r w:rsidR="00206A5F" w:rsidRPr="00F44E35">
        <w:rPr>
          <w:rFonts w:ascii="Times New Roman" w:hAnsi="Times New Roman"/>
          <w:b/>
          <w:sz w:val="28"/>
          <w:szCs w:val="28"/>
        </w:rPr>
        <w:t>. Материалы и методы исследования.</w:t>
      </w:r>
    </w:p>
    <w:p w:rsidR="00F44E35" w:rsidRPr="00C41B37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Цель исследования – повышение значимости среднего медперсонала в улучшении здоровья обучающейся молодежи.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Задачи:</w:t>
      </w:r>
    </w:p>
    <w:p w:rsidR="00206A5F" w:rsidRPr="00F44E35" w:rsidRDefault="00206A5F" w:rsidP="00083A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методом выкопировки учетно-отчетных данных провести сбор мат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риала и проанализировать показатели заболеваемости студентов;</w:t>
      </w:r>
    </w:p>
    <w:p w:rsidR="00206A5F" w:rsidRPr="00F44E35" w:rsidRDefault="00206A5F" w:rsidP="00083A3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Исследовать медико-социальные факторы риска в возникновении 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болеваний;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Объект исследования – студенты Ижевской Государственной Мед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цинской Академии, с 1-го по 6-й – курс – 2266 человек.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Методы исследования:</w:t>
      </w:r>
    </w:p>
    <w:p w:rsidR="00206A5F" w:rsidRPr="00F44E35" w:rsidRDefault="00206A5F" w:rsidP="00083A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выкопировка данных из первичной отчетной документации («мед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цинская карта студента», ф.030/У – контрольная карта диспансерного наблюд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ния, паспорт здравпункта ИГМА, ф.227 – медико-физкультурная карта физкул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турника);</w:t>
      </w:r>
    </w:p>
    <w:p w:rsidR="00206A5F" w:rsidRPr="00F44E35" w:rsidRDefault="00206A5F" w:rsidP="00083A3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статистическая обработка материала: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- расчет относительных, интенсивных, экстенсивных показателей, средних величин;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- вычисление средней ошибки относительной величины по формуле: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44E35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44E35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716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F44E35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7160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 xml:space="preserve">где </w:t>
      </w:r>
      <w:r w:rsidRPr="00F44E35">
        <w:rPr>
          <w:rFonts w:ascii="Times New Roman" w:hAnsi="Times New Roman"/>
          <w:sz w:val="28"/>
          <w:szCs w:val="28"/>
          <w:lang w:val="en-US"/>
        </w:rPr>
        <w:t>p</w:t>
      </w:r>
      <w:r w:rsidRPr="00F44E35">
        <w:rPr>
          <w:rFonts w:ascii="Times New Roman" w:hAnsi="Times New Roman"/>
          <w:sz w:val="28"/>
          <w:szCs w:val="28"/>
        </w:rPr>
        <w:t xml:space="preserve"> – величина показателя, для которого определяется </w:t>
      </w:r>
      <w:r w:rsidRPr="00F44E35">
        <w:rPr>
          <w:rFonts w:ascii="Times New Roman" w:hAnsi="Times New Roman"/>
          <w:sz w:val="28"/>
          <w:szCs w:val="28"/>
          <w:lang w:val="en-US"/>
        </w:rPr>
        <w:t>m</w:t>
      </w:r>
      <w:r w:rsidRPr="00F44E35">
        <w:rPr>
          <w:rFonts w:ascii="Times New Roman" w:hAnsi="Times New Roman"/>
          <w:sz w:val="28"/>
          <w:szCs w:val="28"/>
        </w:rPr>
        <w:t xml:space="preserve">%, а </w:t>
      </w:r>
      <w:r w:rsidRPr="00F44E35">
        <w:rPr>
          <w:rFonts w:ascii="Times New Roman" w:hAnsi="Times New Roman"/>
          <w:sz w:val="28"/>
          <w:szCs w:val="28"/>
          <w:lang w:val="en-US"/>
        </w:rPr>
        <w:t>q</w:t>
      </w:r>
      <w:r w:rsidRPr="00F44E35">
        <w:rPr>
          <w:rFonts w:ascii="Times New Roman" w:hAnsi="Times New Roman"/>
          <w:sz w:val="28"/>
          <w:szCs w:val="28"/>
        </w:rPr>
        <w:t xml:space="preserve"> = 100-</w:t>
      </w:r>
      <w:r w:rsidRPr="00F44E35">
        <w:rPr>
          <w:rFonts w:ascii="Times New Roman" w:hAnsi="Times New Roman"/>
          <w:sz w:val="28"/>
          <w:szCs w:val="28"/>
          <w:lang w:val="en-US"/>
        </w:rPr>
        <w:t>p</w:t>
      </w:r>
      <w:r w:rsidRPr="00F44E35">
        <w:rPr>
          <w:rFonts w:ascii="Times New Roman" w:hAnsi="Times New Roman"/>
          <w:sz w:val="28"/>
          <w:szCs w:val="28"/>
        </w:rPr>
        <w:t xml:space="preserve">, </w:t>
      </w:r>
      <w:r w:rsidRPr="00F44E35">
        <w:rPr>
          <w:rFonts w:ascii="Times New Roman" w:hAnsi="Times New Roman"/>
          <w:sz w:val="28"/>
          <w:szCs w:val="28"/>
          <w:lang w:val="en-US"/>
        </w:rPr>
        <w:t>n</w:t>
      </w:r>
      <w:r w:rsidRPr="00F44E35">
        <w:rPr>
          <w:rFonts w:ascii="Times New Roman" w:hAnsi="Times New Roman"/>
          <w:sz w:val="28"/>
          <w:szCs w:val="28"/>
        </w:rPr>
        <w:t xml:space="preserve"> – число наблюдений.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Вычисление оценки достоверности разности показателей осуществлялось по критерию Стьюдента:</w:t>
      </w:r>
    </w:p>
    <w:p w:rsidR="00206A5F" w:rsidRPr="00F44E35" w:rsidRDefault="00206A5F" w:rsidP="00083A3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fldChar w:fldCharType="begin"/>
      </w:r>
      <w:r w:rsidRPr="00F44E35">
        <w:rPr>
          <w:rFonts w:ascii="Times New Roman" w:hAnsi="Times New Roman"/>
          <w:sz w:val="28"/>
          <w:szCs w:val="28"/>
        </w:rPr>
        <w:instrText xml:space="preserve"> QUOTE </w:instrText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7160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instrText xml:space="preserve"> </w:instrText>
      </w:r>
      <w:r w:rsidRPr="00F44E35">
        <w:rPr>
          <w:rFonts w:ascii="Times New Roman" w:hAnsi="Times New Roman"/>
          <w:sz w:val="28"/>
          <w:szCs w:val="28"/>
        </w:rPr>
        <w:fldChar w:fldCharType="separate"/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3716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fldChar w:fldCharType="end"/>
      </w:r>
    </w:p>
    <w:p w:rsidR="00206A5F" w:rsidRPr="00F44E35" w:rsidRDefault="00206A5F" w:rsidP="00083A3A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сравнительный метод;</w:t>
      </w:r>
    </w:p>
    <w:p w:rsidR="00206A5F" w:rsidRPr="00F44E35" w:rsidRDefault="00206A5F" w:rsidP="00083A3A">
      <w:pPr>
        <w:pStyle w:val="ListParagraph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корреляционный анализ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Коэффициент корреляции рангов по формуле: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fldChar w:fldCharType="begin"/>
      </w:r>
      <w:r w:rsidRPr="00F44E35">
        <w:rPr>
          <w:rFonts w:ascii="Times New Roman" w:hAnsi="Times New Roman"/>
          <w:sz w:val="28"/>
          <w:szCs w:val="28"/>
        </w:rPr>
        <w:instrText xml:space="preserve"> QUOTE </w:instrText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188720" cy="731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instrText xml:space="preserve"> </w:instrText>
      </w:r>
      <w:r w:rsidRPr="00F44E35">
        <w:rPr>
          <w:rFonts w:ascii="Times New Roman" w:hAnsi="Times New Roman"/>
          <w:sz w:val="28"/>
          <w:szCs w:val="28"/>
        </w:rPr>
        <w:fldChar w:fldCharType="separate"/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188720" cy="7315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fldChar w:fldCharType="end"/>
      </w:r>
      <w:r w:rsidRPr="00F44E35">
        <w:rPr>
          <w:rFonts w:ascii="Times New Roman" w:hAnsi="Times New Roman"/>
          <w:sz w:val="28"/>
          <w:szCs w:val="28"/>
        </w:rPr>
        <w:t xml:space="preserve">   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Ошибка коэффициента корреляции (по Спирмену) по формуле: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fldChar w:fldCharType="begin"/>
      </w:r>
      <w:r w:rsidRPr="00F44E35">
        <w:rPr>
          <w:rFonts w:ascii="Times New Roman" w:hAnsi="Times New Roman"/>
          <w:sz w:val="28"/>
          <w:szCs w:val="28"/>
        </w:rPr>
        <w:instrText xml:space="preserve"> QUOTE </w:instrText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463040" cy="54864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instrText xml:space="preserve"> </w:instrText>
      </w:r>
      <w:r w:rsidRPr="00F44E35">
        <w:rPr>
          <w:rFonts w:ascii="Times New Roman" w:hAnsi="Times New Roman"/>
          <w:sz w:val="28"/>
          <w:szCs w:val="28"/>
        </w:rPr>
        <w:fldChar w:fldCharType="separate"/>
      </w:r>
      <w:r w:rsidR="0008585F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463040" cy="548640"/>
            <wp:effectExtent l="0" t="0" r="381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35">
        <w:rPr>
          <w:rFonts w:ascii="Times New Roman" w:hAnsi="Times New Roman"/>
          <w:sz w:val="28"/>
          <w:szCs w:val="28"/>
        </w:rPr>
        <w:fldChar w:fldCharType="end"/>
      </w:r>
      <w:r w:rsidRPr="00F44E35">
        <w:rPr>
          <w:rFonts w:ascii="Times New Roman" w:hAnsi="Times New Roman"/>
          <w:sz w:val="28"/>
          <w:szCs w:val="28"/>
        </w:rPr>
        <w:t xml:space="preserve"> 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Исследование проводилось по материалам за 3 года с 2005 – 2007гг. в пр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цессе отбора данных использовалось сплошное исследование (n - 2 266) .</w:t>
      </w:r>
    </w:p>
    <w:p w:rsidR="00206A5F" w:rsidRPr="00C41B37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06A5F" w:rsidRPr="00F44E35">
        <w:rPr>
          <w:rFonts w:ascii="Times New Roman" w:hAnsi="Times New Roman"/>
          <w:b/>
          <w:sz w:val="28"/>
          <w:szCs w:val="28"/>
        </w:rPr>
        <w:lastRenderedPageBreak/>
        <w:t>ГЛАВА III. Заболеваемость студентов ИГМА.</w:t>
      </w:r>
    </w:p>
    <w:p w:rsidR="00F44E35" w:rsidRPr="00C41B37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5F" w:rsidRPr="00F44E35" w:rsidRDefault="00206A5F" w:rsidP="00083A3A">
      <w:pPr>
        <w:pStyle w:val="ListParagraph"/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44E35">
        <w:rPr>
          <w:rFonts w:ascii="Times New Roman" w:hAnsi="Times New Roman"/>
          <w:b/>
          <w:sz w:val="28"/>
          <w:szCs w:val="28"/>
        </w:rPr>
        <w:t>Анализ заболеваемости населения Удмуртской Республики.</w:t>
      </w:r>
    </w:p>
    <w:p w:rsidR="00F44E35" w:rsidRPr="00C41B37" w:rsidRDefault="00F44E35" w:rsidP="00083A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Состояние здоровья населения УР по-прежнему продолжает оставаться в центре внимания государственных структур и широкой общественности. Большое внимание уделяется мониторингу уровня как общей, так и первичной заболева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мости, особенно социально-значимой и социально-обусловленной патологией[18].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Ежегодно в Удмуртской Республике регистрируется более 2,7 млн.</w:t>
      </w:r>
      <w:r w:rsidR="00F44E35" w:rsidRPr="00F44E35">
        <w:rPr>
          <w:rFonts w:ascii="Times New Roman" w:hAnsi="Times New Roman"/>
          <w:sz w:val="28"/>
          <w:szCs w:val="28"/>
        </w:rPr>
        <w:t xml:space="preserve"> </w:t>
      </w:r>
      <w:r w:rsidRPr="00F44E35">
        <w:rPr>
          <w:rFonts w:ascii="Times New Roman" w:hAnsi="Times New Roman"/>
          <w:sz w:val="28"/>
          <w:szCs w:val="28"/>
        </w:rPr>
        <w:t>случаев заболеваний острыми и хроническими болезнями, из которых около 1,4 млн.</w:t>
      </w:r>
      <w:r w:rsidR="00F44E35" w:rsidRPr="00F44E35">
        <w:rPr>
          <w:rFonts w:ascii="Times New Roman" w:hAnsi="Times New Roman"/>
          <w:sz w:val="28"/>
          <w:szCs w:val="28"/>
        </w:rPr>
        <w:t xml:space="preserve"> </w:t>
      </w:r>
      <w:r w:rsidRPr="00F44E35">
        <w:rPr>
          <w:rFonts w:ascii="Times New Roman" w:hAnsi="Times New Roman"/>
          <w:sz w:val="28"/>
          <w:szCs w:val="28"/>
        </w:rPr>
        <w:t>сл</w:t>
      </w:r>
      <w:r w:rsidRPr="00F44E35">
        <w:rPr>
          <w:rFonts w:ascii="Times New Roman" w:hAnsi="Times New Roman"/>
          <w:sz w:val="28"/>
          <w:szCs w:val="28"/>
        </w:rPr>
        <w:t>у</w:t>
      </w:r>
      <w:r w:rsidRPr="00F44E35">
        <w:rPr>
          <w:rFonts w:ascii="Times New Roman" w:hAnsi="Times New Roman"/>
          <w:sz w:val="28"/>
          <w:szCs w:val="28"/>
        </w:rPr>
        <w:t>чаев с впервые в жизни установленным диагнозом. По сравнению с 2005 годом, уровень общей заболеваемости населения по данным обраща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мости в 2006 году вырос на 2,3% и составил 1836,1 случаев на 1000 населения. При этом рост заб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леваемости отмечается по всем категориям насел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ния, особенно заметный (на 5%) по детскому населению. Показатель первичной заболеваемости остался практич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ски на уровне 2005 года и составил 915,1 случаев на 1000 населения. Причем по взрослому населению отмечае</w:t>
      </w:r>
      <w:r w:rsidRPr="00F44E35">
        <w:rPr>
          <w:rFonts w:ascii="Times New Roman" w:hAnsi="Times New Roman"/>
          <w:sz w:val="28"/>
          <w:szCs w:val="28"/>
        </w:rPr>
        <w:t>т</w:t>
      </w:r>
      <w:r w:rsidRPr="00F44E35">
        <w:rPr>
          <w:rFonts w:ascii="Times New Roman" w:hAnsi="Times New Roman"/>
          <w:sz w:val="28"/>
          <w:szCs w:val="28"/>
        </w:rPr>
        <w:t>ся снижение уровня первичной заболеваемости на 2,5%, а по детям и подросткам – рост заболеваемости на 4% и 3,6% соответстве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но (табл.3).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Рост общей заболеваемости отмечается почти по всем классам боле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ней, за исключением болезней органов дыхания, уха и болезней перинатал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ного периода.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Структура общей и первичной заболеваемости существенно не измен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лась. Ведущее место в структуре и общей, и первичной заболеваемости з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нимает класс болезней органов дыхания (25,4% и 42,2% соответственно). На втором и третьем местах по общей заболеваемости находятся классы болезней органов кровообр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щения (11%) и органов зрения (8,5%), а по первичной заболеваемости – травмы и отравления (12,1%) и болезни кожи и подкожной клетчатки (8,3%).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Таблица 3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Заболеваемость населения Удмуртской Республики за 2005-2006 годы</w:t>
      </w:r>
      <w:r w:rsidR="00F44E35" w:rsidRPr="00F44E35">
        <w:rPr>
          <w:rFonts w:ascii="Times New Roman" w:hAnsi="Times New Roman"/>
          <w:sz w:val="28"/>
          <w:szCs w:val="28"/>
        </w:rPr>
        <w:t xml:space="preserve"> </w:t>
      </w:r>
      <w:r w:rsidRPr="00F44E35">
        <w:rPr>
          <w:rFonts w:ascii="Times New Roman" w:hAnsi="Times New Roman"/>
          <w:sz w:val="28"/>
          <w:szCs w:val="28"/>
        </w:rPr>
        <w:t xml:space="preserve"> (на 1000 населения)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7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206A5F" w:rsidRPr="00F44E3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206A5F" w:rsidRPr="00F44E35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подростки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</w:tr>
      <w:tr w:rsidR="00206A5F" w:rsidRPr="00F44E3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Общая заболеваемость по УР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1794,4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1836,1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2740,4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2878,0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2152,9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2171,2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1557,2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1589,1</w:t>
            </w:r>
          </w:p>
        </w:tc>
      </w:tr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- в том числе, с диагнозом, уст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а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новленным впе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р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919,2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915,1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2180,4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2267,1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1340,8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1389,5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607,1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591,9</w:t>
            </w:r>
          </w:p>
        </w:tc>
      </w:tr>
      <w:tr w:rsidR="00206A5F" w:rsidRPr="00F44E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Общая заболеваемость по Ро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с</w:t>
            </w:r>
            <w:r w:rsidRPr="00F44E35">
              <w:rPr>
                <w:rFonts w:ascii="Times New Roman" w:hAnsi="Times New Roman"/>
                <w:sz w:val="20"/>
                <w:szCs w:val="20"/>
              </w:rPr>
              <w:t>сии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1459,7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1301,3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н.с.</w:t>
            </w:r>
          </w:p>
        </w:tc>
      </w:tr>
      <w:tr w:rsidR="00206A5F" w:rsidRPr="00F44E35">
        <w:tc>
          <w:tcPr>
            <w:tcW w:w="98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E35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Как видно из таблицы, уровень общей и первичной заболеваемости по всем категориям населения в 2006 году по-прежнему значительно превышает средние показатели по Российской Федерации.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Так, общая заболеваемость всего населения по всем классам болезней пр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восходит соответствующие российские показатели на 25,8%; аналогичное прев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lastRenderedPageBreak/>
        <w:t>шение регистрируется как по взрослому (на 22,1%), так и по детскому населению (на 31,6%). Превышение наблюдается по многим классам болезней, за исключ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нием болезней эндокринной системы, болезней крови и кр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ветворных органов, органов кровообращения и пищеварения, новообразований. Особенно значител</w:t>
      </w:r>
      <w:r w:rsidRPr="00F44E35">
        <w:rPr>
          <w:rFonts w:ascii="Times New Roman" w:hAnsi="Times New Roman"/>
          <w:sz w:val="28"/>
          <w:szCs w:val="28"/>
        </w:rPr>
        <w:t>ь</w:t>
      </w:r>
      <w:r w:rsidRPr="00F44E35">
        <w:rPr>
          <w:rFonts w:ascii="Times New Roman" w:hAnsi="Times New Roman"/>
          <w:sz w:val="28"/>
          <w:szCs w:val="28"/>
        </w:rPr>
        <w:t>ное превышение регистрируется по классам: инфекционные и паразитарные 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лезни (в 1,4 раза), болезни глаза (1,5 раза), уха (в 1,35 раза), болезни органов д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хания (32,2%), осложнения беременности и родов (в 1,6 раза), болезни кожи и подкожной клетчатки (в 1,5 раза), мочеп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ловой системы (в 1,35 раз).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По первичной заболеваемости превышение по всем категориям населения составило около 23%, в том числе по детям – более 32%, по взрослым – около 10%. Превышение заболеваемости наблюдается по 9 классам из 19. Особенно значительное превышение отмечается по классам: осложнения б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ременности и родов (в 2 раза), болезни кожи и подкожной клетчатки (в 1,5 раза), инфекционные заболевания (в 1,5 раза), органов дыхания (на 31,2%), болезни перинатального п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риода (на 34%), симптомы и неточно обозначе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ные состояния (почти в 1,7 раз), травмы и отравления (на 23%).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Несмотря на то, что в 2006 году в Удмуртской Республике произошло сн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жение инфекционной заболеваемости на 5%, еще на очень высоком уровне рег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стрируется заболеваемость сальмонеллезом, который в 1,8 раз превышает средн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российские показатели, дифтерией – в 2,5 раза, природно-очаговыми инфекциями – в 4,3 раза, коклюшу – в 1,5 раза выше российского уровня.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последние годы остается высоким уровень заболеваемости инфекциями, передаваемыми половым путем, и заразными кожными заболеваниями. Так, заб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леваемость гонореей на нашей территории выше среднефедер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тивного уровня в 1,7 раз, сифилисом – в 1,5 раза.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Таким образом, по сумме всех инфекционных и паразитарных забол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ваний показатели по Удмуртской Республике превышают средние по РФ по общей и первичной заболеваемости в 1,4 раза.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Особое беспокойство вызывает значительная разница между республика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скими и федеративными показателями репродуктивного здоровья женщин и зд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ровья новорожденных. Так, частота заболеваемости беременных женщин в У</w:t>
      </w:r>
      <w:r w:rsidRPr="00F44E35">
        <w:rPr>
          <w:rFonts w:ascii="Times New Roman" w:hAnsi="Times New Roman"/>
          <w:sz w:val="28"/>
          <w:szCs w:val="28"/>
        </w:rPr>
        <w:t>д</w:t>
      </w:r>
      <w:r w:rsidRPr="00F44E35">
        <w:rPr>
          <w:rFonts w:ascii="Times New Roman" w:hAnsi="Times New Roman"/>
          <w:sz w:val="28"/>
          <w:szCs w:val="28"/>
        </w:rPr>
        <w:t>муртии выше, чем в среднем по РФ в 1,7 раз, особенно по б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лезням мочеполовой системы, по которым регистрируется превышение в 2,8 раза, и заболеваниям о</w:t>
      </w:r>
      <w:r w:rsidRPr="00F44E35">
        <w:rPr>
          <w:rFonts w:ascii="Times New Roman" w:hAnsi="Times New Roman"/>
          <w:sz w:val="28"/>
          <w:szCs w:val="28"/>
        </w:rPr>
        <w:t>р</w:t>
      </w:r>
      <w:r w:rsidRPr="00F44E35">
        <w:rPr>
          <w:rFonts w:ascii="Times New Roman" w:hAnsi="Times New Roman"/>
          <w:sz w:val="28"/>
          <w:szCs w:val="28"/>
        </w:rPr>
        <w:t>ганов кровообращения в – 1,4 раза. В нашем регионе зарегистрировано на 10% больше таких серьезных осложнений беременности, как эклампсия и преэклам</w:t>
      </w:r>
      <w:r w:rsidRPr="00F44E35">
        <w:rPr>
          <w:rFonts w:ascii="Times New Roman" w:hAnsi="Times New Roman"/>
          <w:sz w:val="28"/>
          <w:szCs w:val="28"/>
        </w:rPr>
        <w:t>п</w:t>
      </w:r>
      <w:r w:rsidRPr="00F44E35">
        <w:rPr>
          <w:rFonts w:ascii="Times New Roman" w:hAnsi="Times New Roman"/>
          <w:sz w:val="28"/>
          <w:szCs w:val="28"/>
        </w:rPr>
        <w:t>сия, гипертензии, отеки и протеинурии. Уровень заболеваемости новорожде</w:t>
      </w:r>
      <w:r w:rsidRPr="00F44E35">
        <w:rPr>
          <w:rFonts w:ascii="Times New Roman" w:hAnsi="Times New Roman"/>
          <w:sz w:val="28"/>
          <w:szCs w:val="28"/>
        </w:rPr>
        <w:t>н</w:t>
      </w:r>
      <w:r w:rsidRPr="00F44E35">
        <w:rPr>
          <w:rFonts w:ascii="Times New Roman" w:hAnsi="Times New Roman"/>
          <w:sz w:val="28"/>
          <w:szCs w:val="28"/>
        </w:rPr>
        <w:t>ных в республике также значительно выше, чем в Российской Федерации (в 1,5 раза), особенно удручающее состояние отмечается по числу зарегистрированных случ</w:t>
      </w:r>
      <w:r w:rsidRPr="00F44E35">
        <w:rPr>
          <w:rFonts w:ascii="Times New Roman" w:hAnsi="Times New Roman"/>
          <w:sz w:val="28"/>
          <w:szCs w:val="28"/>
        </w:rPr>
        <w:t>а</w:t>
      </w:r>
      <w:r w:rsidRPr="00F44E35">
        <w:rPr>
          <w:rFonts w:ascii="Times New Roman" w:hAnsi="Times New Roman"/>
          <w:sz w:val="28"/>
          <w:szCs w:val="28"/>
        </w:rPr>
        <w:t>ев бактериального сепсиса новорожденных в родильных домах. Заболева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мость детей первого года жи</w:t>
      </w:r>
      <w:r w:rsidRPr="00F44E35">
        <w:rPr>
          <w:rFonts w:ascii="Times New Roman" w:hAnsi="Times New Roman"/>
          <w:sz w:val="28"/>
          <w:szCs w:val="28"/>
        </w:rPr>
        <w:t>з</w:t>
      </w:r>
      <w:r w:rsidRPr="00F44E35">
        <w:rPr>
          <w:rFonts w:ascii="Times New Roman" w:hAnsi="Times New Roman"/>
          <w:sz w:val="28"/>
          <w:szCs w:val="28"/>
        </w:rPr>
        <w:t>ни в республике также превышает в 1,6 раз уровень и по ПФО, и по РФ.  В 2006 году зарегистрированный уровень материнской смертн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сти в республ</w:t>
      </w:r>
      <w:r w:rsidRPr="00F44E35">
        <w:rPr>
          <w:rFonts w:ascii="Times New Roman" w:hAnsi="Times New Roman"/>
          <w:sz w:val="28"/>
          <w:szCs w:val="28"/>
        </w:rPr>
        <w:t>и</w:t>
      </w:r>
      <w:r w:rsidRPr="00F44E35">
        <w:rPr>
          <w:rFonts w:ascii="Times New Roman" w:hAnsi="Times New Roman"/>
          <w:sz w:val="28"/>
          <w:szCs w:val="28"/>
        </w:rPr>
        <w:t>ке превышает среднероссийсский в 1,4 раза и возрос по сравнению с 2005 г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дом почти в 2 раза.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lastRenderedPageBreak/>
        <w:t>Наряду с мероприятиями по улучшению состояния здоровья всего насел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ния, в республике продолжается работа по совершенствованию медицинской п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мощи детям подросткового возраста. В 2006 году выросла общая заболеваемость подростков в сравнении с предыдущим годом и составила 2171,2 на 1000 по</w:t>
      </w:r>
      <w:r w:rsidRPr="00F44E35">
        <w:rPr>
          <w:rFonts w:ascii="Times New Roman" w:hAnsi="Times New Roman"/>
          <w:sz w:val="28"/>
          <w:szCs w:val="28"/>
        </w:rPr>
        <w:t>д</w:t>
      </w:r>
      <w:r w:rsidRPr="00F44E35">
        <w:rPr>
          <w:rFonts w:ascii="Times New Roman" w:hAnsi="Times New Roman"/>
          <w:sz w:val="28"/>
          <w:szCs w:val="28"/>
        </w:rPr>
        <w:t>ростков 15-17 лет  (в 2005 году – 2152,9 на 1000 насел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ния), выросла и первичная заболеваемость с 1340,8 на 1000 подростков до 1389,5 на 1000.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Заболеваемость подростков превышает уровень у детей от 0-14 лет, пол</w:t>
      </w:r>
      <w:r w:rsidRPr="00F44E35">
        <w:rPr>
          <w:rFonts w:ascii="Times New Roman" w:hAnsi="Times New Roman"/>
          <w:sz w:val="28"/>
          <w:szCs w:val="28"/>
        </w:rPr>
        <w:t>о</w:t>
      </w:r>
      <w:r w:rsidRPr="00F44E35">
        <w:rPr>
          <w:rFonts w:ascii="Times New Roman" w:hAnsi="Times New Roman"/>
          <w:sz w:val="28"/>
          <w:szCs w:val="28"/>
        </w:rPr>
        <w:t>жительной динамики в показателях как общей, так и первичной заболева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мости не достигнуто.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структуре общей заболеваемости подростков традиционно преобладают болезни органов дыхания (821,7%), болезни глаза и его придаточного аппарата (181,6%), заболевания органов пищеварения (171,7%). Необходимо отметить н</w:t>
      </w:r>
      <w:r w:rsidRPr="00F44E35">
        <w:rPr>
          <w:rFonts w:ascii="Times New Roman" w:hAnsi="Times New Roman"/>
          <w:sz w:val="28"/>
          <w:szCs w:val="28"/>
        </w:rPr>
        <w:t>е</w:t>
      </w:r>
      <w:r w:rsidRPr="00F44E35">
        <w:rPr>
          <w:rFonts w:ascii="Times New Roman" w:hAnsi="Times New Roman"/>
          <w:sz w:val="28"/>
          <w:szCs w:val="28"/>
        </w:rPr>
        <w:t>которое снижение показателей заболеваемости подростков в 2006 году болезнями органов дыхания и глаза в сравнении с 2005.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В структуре первичной заболеваемости на 1-м месте – болезни органов д</w:t>
      </w:r>
      <w:r w:rsidRPr="00F44E35">
        <w:rPr>
          <w:rFonts w:ascii="Times New Roman" w:hAnsi="Times New Roman"/>
          <w:sz w:val="28"/>
          <w:szCs w:val="28"/>
        </w:rPr>
        <w:t>ы</w:t>
      </w:r>
      <w:r w:rsidRPr="00F44E35">
        <w:rPr>
          <w:rFonts w:ascii="Times New Roman" w:hAnsi="Times New Roman"/>
          <w:sz w:val="28"/>
          <w:szCs w:val="28"/>
        </w:rPr>
        <w:t>хания (724,2 на 1000 подростков), на втором месте – травмы и отравления (137,9 на 1000), на 3-м месте болезни кожи (109,9 на 1000) табл. 4.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Таблица 4.</w:t>
      </w:r>
    </w:p>
    <w:p w:rsidR="00206A5F" w:rsidRPr="00F44E35" w:rsidRDefault="00206A5F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E35">
        <w:rPr>
          <w:rFonts w:ascii="Times New Roman" w:hAnsi="Times New Roman"/>
          <w:sz w:val="28"/>
          <w:szCs w:val="28"/>
        </w:rPr>
        <w:t>Структура заболеваемости подростков 15-17 лет в Удмуртской Респу</w:t>
      </w:r>
      <w:r w:rsidRPr="00F44E35">
        <w:rPr>
          <w:rFonts w:ascii="Times New Roman" w:hAnsi="Times New Roman"/>
          <w:sz w:val="28"/>
          <w:szCs w:val="28"/>
        </w:rPr>
        <w:t>б</w:t>
      </w:r>
      <w:r w:rsidRPr="00F44E35">
        <w:rPr>
          <w:rFonts w:ascii="Times New Roman" w:hAnsi="Times New Roman"/>
          <w:sz w:val="28"/>
          <w:szCs w:val="28"/>
        </w:rPr>
        <w:t>лике в 2006 году (на 1000 детей соответствующего возраста)</w:t>
      </w:r>
    </w:p>
    <w:p w:rsidR="00F44E35" w:rsidRPr="00F44E35" w:rsidRDefault="00F44E35" w:rsidP="00083A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8"/>
        <w:gridCol w:w="766"/>
        <w:gridCol w:w="1102"/>
      </w:tblGrid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Заболеваний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первичная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2171,2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1389,5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Инфекционные болезни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75,7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крови и кроветворных тканей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эндокринной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нервной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глаза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181,6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821,7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724,2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134,7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109,9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Беременность и роды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Врожденные аномалии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Неточно обозначенные состояния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</w:tr>
      <w:tr w:rsidR="00206A5F" w:rsidRPr="00F44E3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Травмы и отравления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A5F" w:rsidRPr="00F44E35" w:rsidRDefault="00206A5F" w:rsidP="00083A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E35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</w:tr>
    </w:tbl>
    <w:p w:rsidR="00206A5F" w:rsidRPr="00F44E35" w:rsidRDefault="00206A5F" w:rsidP="00083A3A">
      <w:pPr>
        <w:spacing w:after="0" w:line="240" w:lineRule="auto"/>
        <w:jc w:val="both"/>
      </w:pPr>
    </w:p>
    <w:sectPr w:rsidR="00206A5F" w:rsidRPr="00F44E35" w:rsidSect="00083A3A">
      <w:headerReference w:type="default" r:id="rId12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6C" w:rsidRDefault="00C0426C" w:rsidP="00B320BB">
      <w:pPr>
        <w:spacing w:after="0" w:line="240" w:lineRule="auto"/>
      </w:pPr>
      <w:r>
        <w:separator/>
      </w:r>
    </w:p>
  </w:endnote>
  <w:endnote w:type="continuationSeparator" w:id="0">
    <w:p w:rsidR="00C0426C" w:rsidRDefault="00C0426C" w:rsidP="00B3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6C" w:rsidRDefault="00C0426C" w:rsidP="00B320BB">
      <w:pPr>
        <w:spacing w:after="0" w:line="240" w:lineRule="auto"/>
      </w:pPr>
      <w:r>
        <w:separator/>
      </w:r>
    </w:p>
  </w:footnote>
  <w:footnote w:type="continuationSeparator" w:id="0">
    <w:p w:rsidR="00C0426C" w:rsidRDefault="00C0426C" w:rsidP="00B3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41" w:rsidRDefault="00107C4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85F">
      <w:rPr>
        <w:noProof/>
      </w:rPr>
      <w:t>18</w:t>
    </w:r>
    <w:r>
      <w:fldChar w:fldCharType="end"/>
    </w:r>
  </w:p>
  <w:p w:rsidR="00107C41" w:rsidRDefault="00107C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332"/>
    <w:multiLevelType w:val="multilevel"/>
    <w:tmpl w:val="88CEC8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4025230"/>
    <w:multiLevelType w:val="hybridMultilevel"/>
    <w:tmpl w:val="EC8EC1F0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">
    <w:nsid w:val="209A651B"/>
    <w:multiLevelType w:val="hybridMultilevel"/>
    <w:tmpl w:val="FA761A8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F64533D"/>
    <w:multiLevelType w:val="hybridMultilevel"/>
    <w:tmpl w:val="451827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3E4D48"/>
    <w:multiLevelType w:val="hybridMultilevel"/>
    <w:tmpl w:val="AE4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46753D"/>
    <w:multiLevelType w:val="hybridMultilevel"/>
    <w:tmpl w:val="9F9A6E50"/>
    <w:lvl w:ilvl="0" w:tplc="8DDA52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3B073805"/>
    <w:multiLevelType w:val="hybridMultilevel"/>
    <w:tmpl w:val="B04CC0D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57175C"/>
    <w:multiLevelType w:val="hybridMultilevel"/>
    <w:tmpl w:val="98A0A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963744"/>
    <w:multiLevelType w:val="hybridMultilevel"/>
    <w:tmpl w:val="478AF2E0"/>
    <w:lvl w:ilvl="0" w:tplc="C2CE13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334551"/>
    <w:multiLevelType w:val="multilevel"/>
    <w:tmpl w:val="F9C20F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510" w:hanging="45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  <w:b/>
        <w:sz w:val="28"/>
      </w:rPr>
    </w:lvl>
  </w:abstractNum>
  <w:abstractNum w:abstractNumId="10">
    <w:nsid w:val="65716A85"/>
    <w:multiLevelType w:val="multilevel"/>
    <w:tmpl w:val="59EC1858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5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cs="Times New Roman" w:hint="default"/>
      </w:rPr>
    </w:lvl>
  </w:abstractNum>
  <w:abstractNum w:abstractNumId="11">
    <w:nsid w:val="7B0B2A28"/>
    <w:multiLevelType w:val="multilevel"/>
    <w:tmpl w:val="ADB471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cs="Times New Roman" w:hint="default"/>
        <w:sz w:val="28"/>
      </w:rPr>
    </w:lvl>
  </w:abstractNum>
  <w:abstractNum w:abstractNumId="12">
    <w:nsid w:val="7F13558D"/>
    <w:multiLevelType w:val="hybridMultilevel"/>
    <w:tmpl w:val="651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2"/>
    <w:rsid w:val="00021F3E"/>
    <w:rsid w:val="00035376"/>
    <w:rsid w:val="000537D8"/>
    <w:rsid w:val="00065B81"/>
    <w:rsid w:val="00072940"/>
    <w:rsid w:val="00083A3A"/>
    <w:rsid w:val="0008585F"/>
    <w:rsid w:val="00091EB4"/>
    <w:rsid w:val="00092F38"/>
    <w:rsid w:val="000B0030"/>
    <w:rsid w:val="000D38D1"/>
    <w:rsid w:val="000D3B01"/>
    <w:rsid w:val="000E4E05"/>
    <w:rsid w:val="000F40E7"/>
    <w:rsid w:val="000F54DD"/>
    <w:rsid w:val="000F763C"/>
    <w:rsid w:val="00107C41"/>
    <w:rsid w:val="0015553B"/>
    <w:rsid w:val="001619AA"/>
    <w:rsid w:val="00162B9C"/>
    <w:rsid w:val="00164C3F"/>
    <w:rsid w:val="00194946"/>
    <w:rsid w:val="001B26E2"/>
    <w:rsid w:val="001D48CD"/>
    <w:rsid w:val="001E2219"/>
    <w:rsid w:val="00206866"/>
    <w:rsid w:val="00206A5F"/>
    <w:rsid w:val="00220B9C"/>
    <w:rsid w:val="0022367A"/>
    <w:rsid w:val="00226412"/>
    <w:rsid w:val="00227D9A"/>
    <w:rsid w:val="002426C6"/>
    <w:rsid w:val="00246188"/>
    <w:rsid w:val="002575AD"/>
    <w:rsid w:val="002700DD"/>
    <w:rsid w:val="00285CA6"/>
    <w:rsid w:val="00294C15"/>
    <w:rsid w:val="00295C94"/>
    <w:rsid w:val="002C3BA6"/>
    <w:rsid w:val="002E194C"/>
    <w:rsid w:val="002F5FD1"/>
    <w:rsid w:val="003203AC"/>
    <w:rsid w:val="003423E2"/>
    <w:rsid w:val="00353CE0"/>
    <w:rsid w:val="0035768D"/>
    <w:rsid w:val="00360E28"/>
    <w:rsid w:val="003626E5"/>
    <w:rsid w:val="003A0924"/>
    <w:rsid w:val="003A1E1D"/>
    <w:rsid w:val="003A4CF0"/>
    <w:rsid w:val="003B4273"/>
    <w:rsid w:val="003C5A95"/>
    <w:rsid w:val="003D45A2"/>
    <w:rsid w:val="003E339D"/>
    <w:rsid w:val="004258A3"/>
    <w:rsid w:val="00425FCE"/>
    <w:rsid w:val="004308B9"/>
    <w:rsid w:val="0045150B"/>
    <w:rsid w:val="00461CCD"/>
    <w:rsid w:val="00464BDC"/>
    <w:rsid w:val="00485077"/>
    <w:rsid w:val="00491CC1"/>
    <w:rsid w:val="00492653"/>
    <w:rsid w:val="0049432E"/>
    <w:rsid w:val="00496C5E"/>
    <w:rsid w:val="004B1517"/>
    <w:rsid w:val="004C358C"/>
    <w:rsid w:val="004D3C25"/>
    <w:rsid w:val="005030F5"/>
    <w:rsid w:val="00532561"/>
    <w:rsid w:val="00533427"/>
    <w:rsid w:val="00537219"/>
    <w:rsid w:val="005422A2"/>
    <w:rsid w:val="00561974"/>
    <w:rsid w:val="00583946"/>
    <w:rsid w:val="005928FA"/>
    <w:rsid w:val="005A4FA9"/>
    <w:rsid w:val="005B4887"/>
    <w:rsid w:val="005E1B8B"/>
    <w:rsid w:val="00603579"/>
    <w:rsid w:val="006169E0"/>
    <w:rsid w:val="0062699D"/>
    <w:rsid w:val="00641A51"/>
    <w:rsid w:val="00647DFE"/>
    <w:rsid w:val="00651B78"/>
    <w:rsid w:val="006533C4"/>
    <w:rsid w:val="006615B3"/>
    <w:rsid w:val="006748F5"/>
    <w:rsid w:val="006B7657"/>
    <w:rsid w:val="006C1E8D"/>
    <w:rsid w:val="00715074"/>
    <w:rsid w:val="00734C54"/>
    <w:rsid w:val="00737272"/>
    <w:rsid w:val="00746548"/>
    <w:rsid w:val="00757C44"/>
    <w:rsid w:val="007613AC"/>
    <w:rsid w:val="00766D6C"/>
    <w:rsid w:val="00771467"/>
    <w:rsid w:val="007A2055"/>
    <w:rsid w:val="007B2F02"/>
    <w:rsid w:val="007C04CB"/>
    <w:rsid w:val="007C486E"/>
    <w:rsid w:val="007D0880"/>
    <w:rsid w:val="007E24A9"/>
    <w:rsid w:val="007F7ED1"/>
    <w:rsid w:val="00814408"/>
    <w:rsid w:val="008267F3"/>
    <w:rsid w:val="00834C9E"/>
    <w:rsid w:val="008D3FA9"/>
    <w:rsid w:val="008E046B"/>
    <w:rsid w:val="008E4E49"/>
    <w:rsid w:val="008E5FEB"/>
    <w:rsid w:val="008E6CFD"/>
    <w:rsid w:val="009328EB"/>
    <w:rsid w:val="009378D0"/>
    <w:rsid w:val="00941A0A"/>
    <w:rsid w:val="009430B0"/>
    <w:rsid w:val="0095052E"/>
    <w:rsid w:val="00961C8B"/>
    <w:rsid w:val="00970F8C"/>
    <w:rsid w:val="00984BEE"/>
    <w:rsid w:val="00985BA4"/>
    <w:rsid w:val="00A067CA"/>
    <w:rsid w:val="00A32788"/>
    <w:rsid w:val="00A427B7"/>
    <w:rsid w:val="00A668B5"/>
    <w:rsid w:val="00A82B93"/>
    <w:rsid w:val="00AB07DC"/>
    <w:rsid w:val="00AB3B24"/>
    <w:rsid w:val="00AB5A0D"/>
    <w:rsid w:val="00AE7BE7"/>
    <w:rsid w:val="00B320BB"/>
    <w:rsid w:val="00B45B9A"/>
    <w:rsid w:val="00B60F84"/>
    <w:rsid w:val="00B633A4"/>
    <w:rsid w:val="00B74D25"/>
    <w:rsid w:val="00B828D3"/>
    <w:rsid w:val="00B9008B"/>
    <w:rsid w:val="00BC4885"/>
    <w:rsid w:val="00BD3C31"/>
    <w:rsid w:val="00BE42FC"/>
    <w:rsid w:val="00BF219E"/>
    <w:rsid w:val="00C00890"/>
    <w:rsid w:val="00C03B65"/>
    <w:rsid w:val="00C0426C"/>
    <w:rsid w:val="00C11150"/>
    <w:rsid w:val="00C113E5"/>
    <w:rsid w:val="00C360ED"/>
    <w:rsid w:val="00C41B37"/>
    <w:rsid w:val="00C63084"/>
    <w:rsid w:val="00C653CF"/>
    <w:rsid w:val="00C836A6"/>
    <w:rsid w:val="00C8724A"/>
    <w:rsid w:val="00C95006"/>
    <w:rsid w:val="00C95854"/>
    <w:rsid w:val="00CA331E"/>
    <w:rsid w:val="00CC18A6"/>
    <w:rsid w:val="00CC3368"/>
    <w:rsid w:val="00CC3AC1"/>
    <w:rsid w:val="00CD346C"/>
    <w:rsid w:val="00CF37B2"/>
    <w:rsid w:val="00D06AD4"/>
    <w:rsid w:val="00D11285"/>
    <w:rsid w:val="00D13661"/>
    <w:rsid w:val="00D20BA7"/>
    <w:rsid w:val="00D63AA7"/>
    <w:rsid w:val="00D641D2"/>
    <w:rsid w:val="00D72183"/>
    <w:rsid w:val="00D7786D"/>
    <w:rsid w:val="00D934F4"/>
    <w:rsid w:val="00DA2AFE"/>
    <w:rsid w:val="00DA4C50"/>
    <w:rsid w:val="00DB0AB8"/>
    <w:rsid w:val="00E02A0A"/>
    <w:rsid w:val="00E05FC4"/>
    <w:rsid w:val="00E0617E"/>
    <w:rsid w:val="00E078BA"/>
    <w:rsid w:val="00E30B7D"/>
    <w:rsid w:val="00E35344"/>
    <w:rsid w:val="00E40D7D"/>
    <w:rsid w:val="00E42FF1"/>
    <w:rsid w:val="00E64109"/>
    <w:rsid w:val="00E77902"/>
    <w:rsid w:val="00E77C12"/>
    <w:rsid w:val="00E82EEF"/>
    <w:rsid w:val="00E85C21"/>
    <w:rsid w:val="00EA55A1"/>
    <w:rsid w:val="00ED1B09"/>
    <w:rsid w:val="00ED568B"/>
    <w:rsid w:val="00F20DF2"/>
    <w:rsid w:val="00F3436D"/>
    <w:rsid w:val="00F44E35"/>
    <w:rsid w:val="00F73428"/>
    <w:rsid w:val="00F812BD"/>
    <w:rsid w:val="00F909C2"/>
    <w:rsid w:val="00FA2EE4"/>
    <w:rsid w:val="00FA6976"/>
    <w:rsid w:val="00FB11D1"/>
    <w:rsid w:val="00FD525D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1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533C4"/>
    <w:pPr>
      <w:ind w:left="720"/>
    </w:pPr>
  </w:style>
  <w:style w:type="table" w:styleId="a3">
    <w:name w:val="Table Grid"/>
    <w:basedOn w:val="a1"/>
    <w:rsid w:val="00C0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B320BB"/>
    <w:rPr>
      <w:rFonts w:cs="Times New Roman"/>
    </w:rPr>
  </w:style>
  <w:style w:type="paragraph" w:styleId="a6">
    <w:name w:val="footer"/>
    <w:basedOn w:val="a"/>
    <w:link w:val="a7"/>
    <w:semiHidden/>
    <w:rsid w:val="00B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B320BB"/>
    <w:rPr>
      <w:rFonts w:cs="Times New Roman"/>
    </w:rPr>
  </w:style>
  <w:style w:type="character" w:customStyle="1" w:styleId="PlaceholderText">
    <w:name w:val="Placeholder Text"/>
    <w:semiHidden/>
    <w:rsid w:val="005A4FA9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5A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5A4FA9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1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533C4"/>
    <w:pPr>
      <w:ind w:left="720"/>
    </w:pPr>
  </w:style>
  <w:style w:type="table" w:styleId="a3">
    <w:name w:val="Table Grid"/>
    <w:basedOn w:val="a1"/>
    <w:rsid w:val="00C03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B320BB"/>
    <w:rPr>
      <w:rFonts w:cs="Times New Roman"/>
    </w:rPr>
  </w:style>
  <w:style w:type="paragraph" w:styleId="a6">
    <w:name w:val="footer"/>
    <w:basedOn w:val="a"/>
    <w:link w:val="a7"/>
    <w:semiHidden/>
    <w:rsid w:val="00B32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B320BB"/>
    <w:rPr>
      <w:rFonts w:cs="Times New Roman"/>
    </w:rPr>
  </w:style>
  <w:style w:type="character" w:customStyle="1" w:styleId="PlaceholderText">
    <w:name w:val="Placeholder Text"/>
    <w:semiHidden/>
    <w:rsid w:val="005A4FA9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5A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5A4FA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ВЫСШЕГО СЕСТРИНСКОГО ОБРАЗОВАНИЯ</vt:lpstr>
    </vt:vector>
  </TitlesOfParts>
  <Company>HOME</Company>
  <LinksUpToDate>false</LinksUpToDate>
  <CharactersWithSpaces>43143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ВЫСШЕГО СЕСТРИНСКОГО ОБРАЗОВАНИЯ</dc:title>
  <dc:creator>user</dc:creator>
  <cp:lastModifiedBy>Igor</cp:lastModifiedBy>
  <cp:revision>2</cp:revision>
  <dcterms:created xsi:type="dcterms:W3CDTF">2024-06-10T11:32:00Z</dcterms:created>
  <dcterms:modified xsi:type="dcterms:W3CDTF">2024-06-10T11:32:00Z</dcterms:modified>
</cp:coreProperties>
</file>